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439" w:rsidRPr="005B5FF6" w:rsidRDefault="00433439" w:rsidP="00433439">
      <w:pPr>
        <w:rPr>
          <w:rFonts w:ascii="Minion Pro" w:hAnsi="Minion Pro" w:cs="Arial"/>
          <w:sz w:val="22"/>
          <w:szCs w:val="22"/>
        </w:rPr>
      </w:pPr>
    </w:p>
    <w:tbl>
      <w:tblPr>
        <w:tblW w:w="236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2790"/>
        <w:gridCol w:w="3870"/>
        <w:gridCol w:w="4140"/>
        <w:gridCol w:w="4410"/>
        <w:gridCol w:w="5490"/>
      </w:tblGrid>
      <w:tr w:rsidR="00433439" w:rsidRPr="002E35F5" w:rsidTr="00D560F7">
        <w:trPr>
          <w:trHeight w:val="593"/>
        </w:trPr>
        <w:tc>
          <w:tcPr>
            <w:tcW w:w="2970" w:type="dxa"/>
            <w:vAlign w:val="center"/>
          </w:tcPr>
          <w:p w:rsidR="00433439" w:rsidRPr="00D560F7" w:rsidRDefault="00433439" w:rsidP="00D560F7">
            <w:pPr>
              <w:ind w:left="-190"/>
              <w:jc w:val="center"/>
              <w:rPr>
                <w:rFonts w:ascii="Minion Pro" w:hAnsi="Minion Pro" w:cs="Arial"/>
                <w:b/>
                <w:bCs/>
              </w:rPr>
            </w:pPr>
            <w:r w:rsidRPr="00D560F7">
              <w:rPr>
                <w:rFonts w:ascii="Minion Pro" w:hAnsi="Minion Pro" w:cs="Arial"/>
                <w:b/>
                <w:bCs/>
              </w:rPr>
              <w:t>Criteria</w:t>
            </w:r>
          </w:p>
        </w:tc>
        <w:tc>
          <w:tcPr>
            <w:tcW w:w="2790" w:type="dxa"/>
            <w:vAlign w:val="center"/>
          </w:tcPr>
          <w:p w:rsidR="00433439" w:rsidRPr="00D560F7" w:rsidRDefault="00433439" w:rsidP="00D560F7">
            <w:pPr>
              <w:jc w:val="center"/>
              <w:rPr>
                <w:rFonts w:ascii="Minion Pro" w:hAnsi="Minion Pro" w:cs="Arial"/>
                <w:b/>
                <w:bCs/>
              </w:rPr>
            </w:pPr>
            <w:r w:rsidRPr="00D560F7">
              <w:rPr>
                <w:rFonts w:ascii="Minion Pro" w:hAnsi="Minion Pro" w:cs="Arial"/>
                <w:b/>
                <w:bCs/>
              </w:rPr>
              <w:t>Poor</w:t>
            </w:r>
          </w:p>
          <w:p w:rsidR="00433439" w:rsidRPr="00D560F7" w:rsidRDefault="00433439" w:rsidP="00D560F7">
            <w:pPr>
              <w:jc w:val="center"/>
              <w:rPr>
                <w:rFonts w:ascii="Minion Pro" w:hAnsi="Minion Pro" w:cs="Arial"/>
                <w:b/>
                <w:bCs/>
              </w:rPr>
            </w:pPr>
            <w:r w:rsidRPr="00D560F7">
              <w:rPr>
                <w:rFonts w:ascii="Minion Pro" w:hAnsi="Minion Pro" w:cs="Arial"/>
                <w:b/>
                <w:bCs/>
              </w:rPr>
              <w:t>1</w:t>
            </w:r>
          </w:p>
        </w:tc>
        <w:tc>
          <w:tcPr>
            <w:tcW w:w="3870" w:type="dxa"/>
            <w:vAlign w:val="center"/>
          </w:tcPr>
          <w:p w:rsidR="00433439" w:rsidRPr="00D560F7" w:rsidRDefault="00433439" w:rsidP="00D560F7">
            <w:pPr>
              <w:jc w:val="center"/>
              <w:rPr>
                <w:rFonts w:ascii="Minion Pro" w:hAnsi="Minion Pro" w:cs="Arial"/>
                <w:b/>
                <w:bCs/>
              </w:rPr>
            </w:pPr>
            <w:r w:rsidRPr="00D560F7">
              <w:rPr>
                <w:rFonts w:ascii="Minion Pro" w:hAnsi="Minion Pro" w:cs="Arial"/>
                <w:b/>
                <w:bCs/>
              </w:rPr>
              <w:t>Needs Improvement</w:t>
            </w:r>
          </w:p>
          <w:p w:rsidR="00433439" w:rsidRPr="00D560F7" w:rsidRDefault="00433439" w:rsidP="00D560F7">
            <w:pPr>
              <w:jc w:val="center"/>
              <w:rPr>
                <w:rFonts w:ascii="Minion Pro" w:hAnsi="Minion Pro" w:cs="Arial"/>
                <w:b/>
                <w:bCs/>
              </w:rPr>
            </w:pPr>
            <w:r w:rsidRPr="00D560F7">
              <w:rPr>
                <w:rFonts w:ascii="Minion Pro" w:hAnsi="Minion Pro" w:cs="Arial"/>
                <w:b/>
                <w:bCs/>
              </w:rPr>
              <w:t>2</w:t>
            </w:r>
          </w:p>
        </w:tc>
        <w:tc>
          <w:tcPr>
            <w:tcW w:w="4140" w:type="dxa"/>
            <w:vAlign w:val="center"/>
          </w:tcPr>
          <w:p w:rsidR="00433439" w:rsidRPr="00D560F7" w:rsidRDefault="00433439" w:rsidP="00D560F7">
            <w:pPr>
              <w:jc w:val="center"/>
              <w:rPr>
                <w:rFonts w:ascii="Minion Pro" w:hAnsi="Minion Pro" w:cs="Arial"/>
                <w:b/>
                <w:bCs/>
              </w:rPr>
            </w:pPr>
            <w:r w:rsidRPr="00D560F7">
              <w:rPr>
                <w:rFonts w:ascii="Minion Pro" w:hAnsi="Minion Pro" w:cs="Arial"/>
                <w:b/>
                <w:bCs/>
              </w:rPr>
              <w:t>Acceptable</w:t>
            </w:r>
          </w:p>
          <w:p w:rsidR="00433439" w:rsidRPr="00D560F7" w:rsidRDefault="00433439" w:rsidP="00D560F7">
            <w:pPr>
              <w:jc w:val="center"/>
              <w:rPr>
                <w:rFonts w:ascii="Minion Pro" w:hAnsi="Minion Pro" w:cs="Arial"/>
                <w:b/>
                <w:bCs/>
              </w:rPr>
            </w:pPr>
            <w:r w:rsidRPr="00D560F7">
              <w:rPr>
                <w:rFonts w:ascii="Minion Pro" w:hAnsi="Minion Pro" w:cs="Arial"/>
                <w:b/>
                <w:bCs/>
              </w:rPr>
              <w:t>3</w:t>
            </w:r>
          </w:p>
        </w:tc>
        <w:tc>
          <w:tcPr>
            <w:tcW w:w="4410" w:type="dxa"/>
            <w:vAlign w:val="center"/>
          </w:tcPr>
          <w:p w:rsidR="00433439" w:rsidRPr="00D560F7" w:rsidRDefault="00433439" w:rsidP="00D560F7">
            <w:pPr>
              <w:jc w:val="center"/>
              <w:rPr>
                <w:rFonts w:ascii="Minion Pro" w:hAnsi="Minion Pro" w:cs="Arial"/>
                <w:b/>
                <w:bCs/>
              </w:rPr>
            </w:pPr>
            <w:r w:rsidRPr="00D560F7">
              <w:rPr>
                <w:rFonts w:ascii="Minion Pro" w:hAnsi="Minion Pro" w:cs="Arial"/>
                <w:b/>
                <w:bCs/>
              </w:rPr>
              <w:t>Good</w:t>
            </w:r>
          </w:p>
          <w:p w:rsidR="00433439" w:rsidRPr="00D560F7" w:rsidRDefault="00433439" w:rsidP="00D560F7">
            <w:pPr>
              <w:jc w:val="center"/>
              <w:rPr>
                <w:rFonts w:ascii="Minion Pro" w:hAnsi="Minion Pro" w:cs="Arial"/>
                <w:b/>
                <w:bCs/>
              </w:rPr>
            </w:pPr>
            <w:r w:rsidRPr="00D560F7">
              <w:rPr>
                <w:rFonts w:ascii="Minion Pro" w:hAnsi="Minion Pro" w:cs="Arial"/>
                <w:b/>
                <w:bCs/>
              </w:rPr>
              <w:t>4</w:t>
            </w:r>
          </w:p>
        </w:tc>
        <w:tc>
          <w:tcPr>
            <w:tcW w:w="5490" w:type="dxa"/>
            <w:vAlign w:val="center"/>
          </w:tcPr>
          <w:p w:rsidR="00433439" w:rsidRPr="00D560F7" w:rsidRDefault="00433439" w:rsidP="00D560F7">
            <w:pPr>
              <w:jc w:val="center"/>
              <w:rPr>
                <w:rFonts w:ascii="Minion Pro" w:hAnsi="Minion Pro" w:cs="Arial"/>
                <w:b/>
                <w:bCs/>
              </w:rPr>
            </w:pPr>
            <w:r w:rsidRPr="00D560F7">
              <w:rPr>
                <w:rFonts w:ascii="Minion Pro" w:hAnsi="Minion Pro" w:cs="Arial"/>
                <w:b/>
                <w:bCs/>
              </w:rPr>
              <w:t>Exemplary</w:t>
            </w:r>
          </w:p>
          <w:p w:rsidR="00433439" w:rsidRPr="00D560F7" w:rsidRDefault="00433439" w:rsidP="00D560F7">
            <w:pPr>
              <w:jc w:val="center"/>
              <w:rPr>
                <w:rFonts w:ascii="Minion Pro" w:hAnsi="Minion Pro" w:cs="Arial"/>
                <w:b/>
                <w:bCs/>
              </w:rPr>
            </w:pPr>
            <w:r w:rsidRPr="00D560F7">
              <w:rPr>
                <w:rFonts w:ascii="Minion Pro" w:hAnsi="Minion Pro" w:cs="Arial"/>
                <w:b/>
                <w:bCs/>
              </w:rPr>
              <w:t>5</w:t>
            </w:r>
          </w:p>
        </w:tc>
      </w:tr>
      <w:tr w:rsidR="00F231CB" w:rsidRPr="002E35F5" w:rsidTr="00D560F7">
        <w:trPr>
          <w:trHeight w:val="1403"/>
        </w:trPr>
        <w:tc>
          <w:tcPr>
            <w:tcW w:w="2970" w:type="dxa"/>
            <w:vAlign w:val="center"/>
          </w:tcPr>
          <w:p w:rsidR="00F231CB" w:rsidRPr="00F231CB" w:rsidRDefault="009F3575" w:rsidP="00F231CB">
            <w:pPr>
              <w:jc w:val="center"/>
              <w:rPr>
                <w:rFonts w:ascii="Minion Pro" w:hAnsi="Minion Pro" w:cs="Arial"/>
                <w:sz w:val="23"/>
                <w:szCs w:val="23"/>
              </w:rPr>
            </w:pPr>
            <w:hyperlink r:id="rId7" w:history="1">
              <w:r w:rsidR="00F231CB" w:rsidRPr="00D560F7">
                <w:rPr>
                  <w:rStyle w:val="Hyperlink"/>
                  <w:rFonts w:ascii="Minion Pro" w:hAnsi="Minion Pro" w:cs="Arial"/>
                  <w:sz w:val="23"/>
                  <w:szCs w:val="23"/>
                </w:rPr>
                <w:t xml:space="preserve">UC Master Gardener Program Mission </w:t>
              </w:r>
            </w:hyperlink>
            <w:r w:rsidR="00F231CB" w:rsidRPr="00D560F7">
              <w:rPr>
                <w:rFonts w:ascii="Minion Pro" w:hAnsi="Minion Pro" w:cs="Arial"/>
                <w:sz w:val="23"/>
                <w:szCs w:val="23"/>
              </w:rPr>
              <w:t xml:space="preserve">and </w:t>
            </w:r>
            <w:hyperlink r:id="rId8" w:history="1">
              <w:r w:rsidR="00F231CB" w:rsidRPr="00D560F7">
                <w:rPr>
                  <w:rStyle w:val="Hyperlink"/>
                  <w:rFonts w:ascii="Minion Pro" w:hAnsi="Minion Pro" w:cs="Arial"/>
                  <w:sz w:val="23"/>
                  <w:szCs w:val="23"/>
                </w:rPr>
                <w:t>Core Values</w:t>
              </w:r>
            </w:hyperlink>
            <w:r w:rsidR="00F231CB">
              <w:rPr>
                <w:rStyle w:val="Hyperlink"/>
                <w:rFonts w:ascii="Minion Pro" w:hAnsi="Minion Pro" w:cs="Arial"/>
                <w:sz w:val="23"/>
                <w:szCs w:val="23"/>
                <w:u w:val="none"/>
              </w:rPr>
              <w:t xml:space="preserve"> </w:t>
            </w:r>
            <w:r w:rsidR="00F231CB">
              <w:rPr>
                <w:rStyle w:val="Hyperlink"/>
                <w:rFonts w:ascii="Minion Pro" w:hAnsi="Minion Pro" w:cs="Arial"/>
                <w:color w:val="auto"/>
                <w:sz w:val="23"/>
                <w:szCs w:val="23"/>
                <w:u w:val="none"/>
              </w:rPr>
              <w:t>*</w:t>
            </w:r>
          </w:p>
        </w:tc>
        <w:tc>
          <w:tcPr>
            <w:tcW w:w="27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No or nominal connection</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Some elements are present, but project has minimal impact and/or focuses narrowly on the needs of historic UC Master Gardener Program clientele</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 xml:space="preserve">Evident connection to mission and values; </w:t>
            </w:r>
            <w:r w:rsidR="000C0439">
              <w:rPr>
                <w:rFonts w:ascii="Minion Pro" w:hAnsi="Minion Pro" w:cs="Arial"/>
                <w:sz w:val="23"/>
                <w:szCs w:val="23"/>
              </w:rPr>
              <w:t xml:space="preserve">Inclusive of many volunteers; </w:t>
            </w:r>
            <w:r w:rsidRPr="00D560F7">
              <w:rPr>
                <w:rFonts w:ascii="Minion Pro" w:hAnsi="Minion Pro" w:cs="Arial"/>
                <w:sz w:val="23"/>
                <w:szCs w:val="23"/>
              </w:rPr>
              <w:t>Early efforts to explore project changes to ensure educational opportunities for all CA gardeners</w:t>
            </w:r>
          </w:p>
        </w:tc>
        <w:tc>
          <w:tcPr>
            <w:tcW w:w="4410" w:type="dxa"/>
            <w:vAlign w:val="center"/>
          </w:tcPr>
          <w:p w:rsidR="00F231CB" w:rsidRPr="00D560F7" w:rsidRDefault="00F231CB" w:rsidP="000C0439">
            <w:pPr>
              <w:jc w:val="center"/>
              <w:rPr>
                <w:rFonts w:ascii="Minion Pro" w:hAnsi="Minion Pro" w:cs="Arial"/>
                <w:sz w:val="23"/>
                <w:szCs w:val="23"/>
              </w:rPr>
            </w:pPr>
            <w:r w:rsidRPr="00D560F7">
              <w:rPr>
                <w:rFonts w:ascii="Minion Pro" w:hAnsi="Minion Pro" w:cs="Arial"/>
                <w:sz w:val="23"/>
                <w:szCs w:val="23"/>
              </w:rPr>
              <w:t xml:space="preserve">Evident connection to mission and values; </w:t>
            </w:r>
            <w:r w:rsidR="000C0439">
              <w:rPr>
                <w:rFonts w:ascii="Minion Pro" w:hAnsi="Minion Pro" w:cs="Arial"/>
                <w:sz w:val="23"/>
                <w:szCs w:val="23"/>
              </w:rPr>
              <w:t xml:space="preserve">Inclusive of many volunteers, including trainees; </w:t>
            </w:r>
            <w:r w:rsidRPr="00D560F7">
              <w:rPr>
                <w:rFonts w:ascii="Minion Pro" w:hAnsi="Minion Pro" w:cs="Arial"/>
                <w:sz w:val="23"/>
                <w:szCs w:val="23"/>
              </w:rPr>
              <w:t>Clear attempts to adapt project to address diverse audiences</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 xml:space="preserve">Evident connection to mission and values; </w:t>
            </w:r>
            <w:r w:rsidR="000C0439">
              <w:rPr>
                <w:rFonts w:ascii="Minion Pro" w:hAnsi="Minion Pro" w:cs="Arial"/>
                <w:sz w:val="23"/>
                <w:szCs w:val="23"/>
              </w:rPr>
              <w:t xml:space="preserve">Inclusive of many volunteers, including trainees; Regular changes in project leadership roles; </w:t>
            </w:r>
            <w:r w:rsidRPr="00D560F7">
              <w:rPr>
                <w:rFonts w:ascii="Minion Pro" w:hAnsi="Minion Pro" w:cs="Arial"/>
                <w:sz w:val="23"/>
                <w:szCs w:val="23"/>
              </w:rPr>
              <w:t>Ongoing and institutionalized efforts to adapt, revise project to address diverse audiences</w:t>
            </w:r>
          </w:p>
        </w:tc>
      </w:tr>
      <w:tr w:rsidR="00F231CB" w:rsidRPr="002E35F5" w:rsidTr="00D560F7">
        <w:trPr>
          <w:trHeight w:val="1403"/>
        </w:trPr>
        <w:tc>
          <w:tcPr>
            <w:tcW w:w="2970" w:type="dxa"/>
            <w:vAlign w:val="center"/>
          </w:tcPr>
          <w:p w:rsidR="00F231CB" w:rsidRPr="00F231CB" w:rsidRDefault="009F3575" w:rsidP="00F231CB">
            <w:pPr>
              <w:jc w:val="center"/>
              <w:rPr>
                <w:rFonts w:ascii="Minion Pro" w:hAnsi="Minion Pro" w:cs="Arial"/>
                <w:sz w:val="23"/>
                <w:szCs w:val="23"/>
              </w:rPr>
            </w:pPr>
            <w:hyperlink r:id="rId9" w:history="1">
              <w:r w:rsidR="00F231CB" w:rsidRPr="00D560F7">
                <w:rPr>
                  <w:rStyle w:val="Hyperlink"/>
                  <w:rFonts w:ascii="Minion Pro" w:hAnsi="Minion Pro" w:cs="Arial"/>
                  <w:sz w:val="23"/>
                  <w:szCs w:val="23"/>
                </w:rPr>
                <w:t>UCANR Strategic Initiatives (SI)</w:t>
              </w:r>
            </w:hyperlink>
            <w:r w:rsidR="00F231CB">
              <w:rPr>
                <w:rStyle w:val="Hyperlink"/>
                <w:rFonts w:ascii="Minion Pro" w:hAnsi="Minion Pro" w:cs="Arial"/>
                <w:sz w:val="23"/>
                <w:szCs w:val="23"/>
                <w:u w:val="none"/>
              </w:rPr>
              <w:t xml:space="preserve"> </w:t>
            </w:r>
            <w:r w:rsidR="00F231CB">
              <w:rPr>
                <w:rStyle w:val="Hyperlink"/>
                <w:rFonts w:ascii="Minion Pro" w:hAnsi="Minion Pro" w:cs="Arial"/>
                <w:color w:val="auto"/>
                <w:sz w:val="23"/>
                <w:szCs w:val="23"/>
                <w:u w:val="none"/>
              </w:rPr>
              <w:t>*</w:t>
            </w:r>
          </w:p>
        </w:tc>
        <w:tc>
          <w:tcPr>
            <w:tcW w:w="2790" w:type="dxa"/>
            <w:vAlign w:val="center"/>
          </w:tcPr>
          <w:p w:rsidR="00F231CB" w:rsidRPr="00D560F7" w:rsidRDefault="00F231CB" w:rsidP="00F231CB">
            <w:pPr>
              <w:pStyle w:val="Title"/>
              <w:rPr>
                <w:rFonts w:ascii="Minion Pro" w:hAnsi="Minion Pro" w:cs="Arial"/>
                <w:sz w:val="23"/>
                <w:szCs w:val="23"/>
              </w:rPr>
            </w:pPr>
            <w:r w:rsidRPr="00D560F7">
              <w:rPr>
                <w:rFonts w:ascii="Minion Pro" w:hAnsi="Minion Pro" w:cs="Arial"/>
                <w:sz w:val="23"/>
                <w:szCs w:val="23"/>
              </w:rPr>
              <w:t>Minimal or no connection</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Some connection to one or more SI evident; Improvement needed to strengthen/clarify alignment with SI</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Clear connection to one or more SI; Evident to UCANR staff</w:t>
            </w:r>
          </w:p>
        </w:tc>
        <w:tc>
          <w:tcPr>
            <w:tcW w:w="441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Clear, strong alignment with one or more SI is evident to staff and volunteers</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Clear, strong alignment with one or more SI evident to staff, volunteers, AND public; Project is easily evaluated using the UC Master Gardener Program Evaluation processes</w:t>
            </w:r>
          </w:p>
        </w:tc>
      </w:tr>
      <w:tr w:rsidR="00F231CB" w:rsidRPr="002E35F5" w:rsidTr="00D560F7">
        <w:trPr>
          <w:trHeight w:val="818"/>
        </w:trPr>
        <w:tc>
          <w:tcPr>
            <w:tcW w:w="29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Local Priorities (UCCE)</w:t>
            </w:r>
          </w:p>
        </w:tc>
        <w:tc>
          <w:tcPr>
            <w:tcW w:w="27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No or nominal alignment</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Some connection to local County Director, Advisor, CES skills, abilities, priorities</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Clear connection to local County Director, Advisor, CES skills, abilities, priorities</w:t>
            </w:r>
          </w:p>
        </w:tc>
        <w:tc>
          <w:tcPr>
            <w:tcW w:w="441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Strong connection to local County Director, Advisor, CES skills, abilities, priorities; Volunteers involved in primary research, data collection</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Robust connection to local County Director, Advisor, CES skills, abilities, priorities; Volunteers involved in primary research, data collection, and results dissemination</w:t>
            </w:r>
          </w:p>
        </w:tc>
      </w:tr>
      <w:tr w:rsidR="00F231CB" w:rsidRPr="002E35F5" w:rsidTr="00D560F7">
        <w:trPr>
          <w:trHeight w:val="1061"/>
        </w:trPr>
        <w:tc>
          <w:tcPr>
            <w:tcW w:w="29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Local Priorities (County leadership, Partner organizations, Municipal districts)</w:t>
            </w:r>
          </w:p>
        </w:tc>
        <w:tc>
          <w:tcPr>
            <w:tcW w:w="27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No or nominal alignment with local priorities</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Some project elements connect with local priorities including county initiatives, partner organization missions, grantee/funder requirements</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Clear connection to local priorities including county initiatives, partner organization missions, grantee/funder requirements</w:t>
            </w:r>
          </w:p>
        </w:tc>
        <w:tc>
          <w:tcPr>
            <w:tcW w:w="441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Strong alignment with local priorities including county initiatives, partner organization missions, grantee/funder requirements; Project outcomes are reported regularly to partners</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Strong alignment with local priorities including county initiatives, partner organization missions, grantee/funder requirements; Project outcomes are reported regularly to partners; Volunteers articulate these collaborations</w:t>
            </w:r>
          </w:p>
        </w:tc>
      </w:tr>
      <w:tr w:rsidR="00F231CB" w:rsidRPr="002E35F5" w:rsidTr="00D560F7">
        <w:trPr>
          <w:trHeight w:val="1061"/>
        </w:trPr>
        <w:tc>
          <w:tcPr>
            <w:tcW w:w="29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Unique Areas of Volunteer / Coordinator Brilliance (UAB)</w:t>
            </w:r>
            <w:r w:rsidR="00711641">
              <w:rPr>
                <w:rFonts w:ascii="Minion Pro" w:hAnsi="Minion Pro" w:cs="Arial"/>
                <w:sz w:val="23"/>
                <w:szCs w:val="23"/>
              </w:rPr>
              <w:t>**</w:t>
            </w:r>
          </w:p>
        </w:tc>
        <w:tc>
          <w:tcPr>
            <w:tcW w:w="27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Does not specifically showcase Volunteer / Coordinator UAB</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Volunteer / Coordinator UAB best put to work in other projects</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Volunteer / Coordinator UAB observable</w:t>
            </w:r>
          </w:p>
        </w:tc>
        <w:tc>
          <w:tcPr>
            <w:tcW w:w="441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Volunteer / Coordinator UAB observable; Innovation impacts, informs local UC Master Gardener Program</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Volunteer / Coordinator UAB observable; Innovation impacts, informs statewide UC Master Gardener Program, National Extension Master Gardener</w:t>
            </w:r>
            <w:r>
              <w:rPr>
                <w:rFonts w:ascii="Minion Pro" w:hAnsi="Minion Pro" w:cs="Arial"/>
                <w:sz w:val="23"/>
                <w:szCs w:val="23"/>
              </w:rPr>
              <w:t xml:space="preserve"> Network</w:t>
            </w:r>
          </w:p>
        </w:tc>
      </w:tr>
      <w:tr w:rsidR="00F231CB" w:rsidRPr="002E35F5" w:rsidTr="00D560F7">
        <w:trPr>
          <w:trHeight w:val="1061"/>
        </w:trPr>
        <w:tc>
          <w:tcPr>
            <w:tcW w:w="29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 xml:space="preserve">Communities Underinvested by UC System (Black, Indigenous, </w:t>
            </w:r>
            <w:proofErr w:type="spellStart"/>
            <w:r w:rsidRPr="00D560F7">
              <w:rPr>
                <w:rFonts w:ascii="Minion Pro" w:hAnsi="Minion Pro" w:cs="Arial"/>
                <w:sz w:val="23"/>
                <w:szCs w:val="23"/>
              </w:rPr>
              <w:t>Latinx</w:t>
            </w:r>
            <w:proofErr w:type="spellEnd"/>
            <w:r w:rsidRPr="00D560F7">
              <w:rPr>
                <w:rFonts w:ascii="Minion Pro" w:hAnsi="Minion Pro" w:cs="Arial"/>
                <w:sz w:val="23"/>
                <w:szCs w:val="23"/>
              </w:rPr>
              <w:t>/Hispanic, POC, LGBTQIA+)</w:t>
            </w:r>
          </w:p>
        </w:tc>
        <w:tc>
          <w:tcPr>
            <w:tcW w:w="27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Does not focus on priorities of and/or requests made by communities under-invested by the UC-system</w:t>
            </w:r>
          </w:p>
        </w:tc>
        <w:tc>
          <w:tcPr>
            <w:tcW w:w="387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Focuses somewhat on communities under-invested by the UC-system but communities are not involved in decision-making, agenda-setting; DEI continuing education is not a priority for current UC Master Gardener Program volunteers</w:t>
            </w:r>
          </w:p>
        </w:tc>
        <w:tc>
          <w:tcPr>
            <w:tcW w:w="414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Focuses on communities under-invested by the UC-system but communities are minimally involved in decision-making, agenda-setting; DEI continuing education is a priority for current UC Master Gardener Program volunteers</w:t>
            </w:r>
          </w:p>
        </w:tc>
        <w:tc>
          <w:tcPr>
            <w:tcW w:w="441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Communities under-invested by UC are actively involved in decision-making, agenda-setting; DEI continuing education is a core priority for current UC Master Gardener Program volunteers</w:t>
            </w:r>
          </w:p>
        </w:tc>
        <w:tc>
          <w:tcPr>
            <w:tcW w:w="5490" w:type="dxa"/>
            <w:vAlign w:val="center"/>
          </w:tcPr>
          <w:p w:rsidR="00F231CB" w:rsidRPr="00D560F7" w:rsidRDefault="00F231CB" w:rsidP="00F231CB">
            <w:pPr>
              <w:jc w:val="center"/>
              <w:rPr>
                <w:rFonts w:ascii="Minion Pro" w:hAnsi="Minion Pro" w:cs="Arial"/>
                <w:sz w:val="23"/>
                <w:szCs w:val="23"/>
              </w:rPr>
            </w:pPr>
            <w:r w:rsidRPr="00D560F7">
              <w:rPr>
                <w:rFonts w:ascii="Minion Pro" w:hAnsi="Minion Pro" w:cs="Arial"/>
                <w:sz w:val="23"/>
                <w:szCs w:val="23"/>
              </w:rPr>
              <w:t>Communities underinvested are involved in decision-making, agenda-setting, and evaluation; DEI continuing education is a core priority and competency for current UC Master Gardener Program volunteers; Project results in identification and selection of new volunteers / partners from communities underinvested by UC system</w:t>
            </w:r>
          </w:p>
        </w:tc>
      </w:tr>
      <w:tr w:rsidR="00F231CB" w:rsidRPr="002E35F5" w:rsidTr="00D560F7">
        <w:trPr>
          <w:trHeight w:val="1367"/>
        </w:trPr>
        <w:tc>
          <w:tcPr>
            <w:tcW w:w="2970" w:type="dxa"/>
            <w:vAlign w:val="center"/>
          </w:tcPr>
          <w:p w:rsidR="00F231CB" w:rsidRPr="00D560F7" w:rsidRDefault="00F85D28" w:rsidP="00F231CB">
            <w:pPr>
              <w:jc w:val="center"/>
              <w:rPr>
                <w:rFonts w:ascii="Minion Pro" w:hAnsi="Minion Pro" w:cs="Arial"/>
                <w:sz w:val="23"/>
                <w:szCs w:val="23"/>
              </w:rPr>
            </w:pPr>
            <w:r>
              <w:rPr>
                <w:rFonts w:ascii="Minion Pro" w:hAnsi="Minion Pro" w:cs="Arial"/>
                <w:sz w:val="23"/>
                <w:szCs w:val="23"/>
              </w:rPr>
              <w:t xml:space="preserve">For Fundraising Events: </w:t>
            </w:r>
            <w:r w:rsidR="00F231CB">
              <w:rPr>
                <w:rFonts w:ascii="Minion Pro" w:hAnsi="Minion Pro" w:cs="Arial"/>
                <w:sz w:val="23"/>
                <w:szCs w:val="23"/>
              </w:rPr>
              <w:t xml:space="preserve">Return on Investment ** </w:t>
            </w:r>
          </w:p>
        </w:tc>
        <w:tc>
          <w:tcPr>
            <w:tcW w:w="2790" w:type="dxa"/>
            <w:vAlign w:val="center"/>
          </w:tcPr>
          <w:p w:rsidR="00F231CB" w:rsidRPr="00D560F7" w:rsidRDefault="009D3F3F" w:rsidP="005649B1">
            <w:pPr>
              <w:jc w:val="center"/>
              <w:rPr>
                <w:rFonts w:ascii="Minion Pro" w:hAnsi="Minion Pro" w:cs="Arial"/>
                <w:sz w:val="23"/>
                <w:szCs w:val="23"/>
              </w:rPr>
            </w:pPr>
            <w:r>
              <w:rPr>
                <w:rFonts w:ascii="Minion Pro" w:hAnsi="Minion Pro" w:cs="Arial"/>
                <w:sz w:val="23"/>
                <w:szCs w:val="23"/>
              </w:rPr>
              <w:t xml:space="preserve">Volunteer time investment, financial outlay </w:t>
            </w:r>
            <w:r w:rsidR="005649B1">
              <w:rPr>
                <w:rFonts w:ascii="Minion Pro" w:hAnsi="Minion Pro" w:cs="Arial"/>
                <w:sz w:val="23"/>
                <w:szCs w:val="23"/>
              </w:rPr>
              <w:t>far exceed</w:t>
            </w:r>
            <w:r w:rsidR="00F85D28">
              <w:rPr>
                <w:rFonts w:ascii="Minion Pro" w:hAnsi="Minion Pro" w:cs="Arial"/>
                <w:sz w:val="23"/>
                <w:szCs w:val="23"/>
              </w:rPr>
              <w:t xml:space="preserve"> </w:t>
            </w:r>
            <w:r>
              <w:rPr>
                <w:rFonts w:ascii="Minion Pro" w:hAnsi="Minion Pro" w:cs="Arial"/>
                <w:sz w:val="23"/>
                <w:szCs w:val="23"/>
              </w:rPr>
              <w:t>funds raised</w:t>
            </w:r>
          </w:p>
        </w:tc>
        <w:tc>
          <w:tcPr>
            <w:tcW w:w="3870" w:type="dxa"/>
            <w:vAlign w:val="center"/>
          </w:tcPr>
          <w:p w:rsidR="00F231CB" w:rsidRPr="00D560F7" w:rsidRDefault="009D3F3F" w:rsidP="005649B1">
            <w:pPr>
              <w:jc w:val="center"/>
              <w:rPr>
                <w:rFonts w:ascii="Minion Pro" w:hAnsi="Minion Pro" w:cs="Arial"/>
                <w:sz w:val="23"/>
                <w:szCs w:val="23"/>
              </w:rPr>
            </w:pPr>
            <w:r>
              <w:rPr>
                <w:rFonts w:ascii="Minion Pro" w:hAnsi="Minion Pro" w:cs="Arial"/>
                <w:sz w:val="23"/>
                <w:szCs w:val="23"/>
              </w:rPr>
              <w:t>Volunteer ti</w:t>
            </w:r>
            <w:r w:rsidR="005649B1">
              <w:rPr>
                <w:rFonts w:ascii="Minion Pro" w:hAnsi="Minion Pro" w:cs="Arial"/>
                <w:sz w:val="23"/>
                <w:szCs w:val="23"/>
              </w:rPr>
              <w:t>me investment, financial outlay just offset by funds raised</w:t>
            </w:r>
          </w:p>
        </w:tc>
        <w:tc>
          <w:tcPr>
            <w:tcW w:w="4140" w:type="dxa"/>
            <w:vAlign w:val="center"/>
          </w:tcPr>
          <w:p w:rsidR="00F231CB" w:rsidRPr="00D560F7" w:rsidRDefault="005649B1" w:rsidP="00F231CB">
            <w:pPr>
              <w:jc w:val="center"/>
              <w:rPr>
                <w:rFonts w:ascii="Minion Pro" w:hAnsi="Minion Pro" w:cs="Arial"/>
                <w:sz w:val="23"/>
                <w:szCs w:val="23"/>
              </w:rPr>
            </w:pPr>
            <w:r>
              <w:rPr>
                <w:rFonts w:ascii="Minion Pro" w:hAnsi="Minion Pro" w:cs="Arial"/>
                <w:sz w:val="23"/>
                <w:szCs w:val="23"/>
              </w:rPr>
              <w:t>Funds raised just exceed volunteer time investment, financial outlay</w:t>
            </w:r>
          </w:p>
        </w:tc>
        <w:tc>
          <w:tcPr>
            <w:tcW w:w="4410" w:type="dxa"/>
            <w:vAlign w:val="center"/>
          </w:tcPr>
          <w:p w:rsidR="00F231CB" w:rsidRPr="00D560F7" w:rsidRDefault="005649B1" w:rsidP="005649B1">
            <w:pPr>
              <w:jc w:val="center"/>
              <w:rPr>
                <w:rFonts w:ascii="Minion Pro" w:hAnsi="Minion Pro" w:cs="Arial"/>
                <w:sz w:val="23"/>
                <w:szCs w:val="23"/>
              </w:rPr>
            </w:pPr>
            <w:r>
              <w:rPr>
                <w:rFonts w:ascii="Minion Pro" w:hAnsi="Minion Pro" w:cs="Arial"/>
                <w:sz w:val="23"/>
                <w:szCs w:val="23"/>
              </w:rPr>
              <w:t>Funds raised far exceed volunteer time investment, financial outlay</w:t>
            </w:r>
            <w:r w:rsidR="00E82CE9">
              <w:rPr>
                <w:rFonts w:ascii="Minion Pro" w:hAnsi="Minion Pro" w:cs="Arial"/>
                <w:sz w:val="23"/>
                <w:szCs w:val="23"/>
              </w:rPr>
              <w:t>; Funds are applied to strengthen the volunteer community, mission delivery</w:t>
            </w:r>
          </w:p>
        </w:tc>
        <w:tc>
          <w:tcPr>
            <w:tcW w:w="5490" w:type="dxa"/>
            <w:vAlign w:val="center"/>
          </w:tcPr>
          <w:p w:rsidR="00F231CB" w:rsidRPr="00D560F7" w:rsidRDefault="00E82CE9" w:rsidP="00F231CB">
            <w:pPr>
              <w:jc w:val="center"/>
              <w:rPr>
                <w:rFonts w:ascii="Minion Pro" w:hAnsi="Minion Pro" w:cs="Arial"/>
                <w:sz w:val="23"/>
                <w:szCs w:val="23"/>
              </w:rPr>
            </w:pPr>
            <w:r>
              <w:rPr>
                <w:rFonts w:ascii="Minion Pro" w:hAnsi="Minion Pro" w:cs="Arial"/>
                <w:sz w:val="23"/>
                <w:szCs w:val="23"/>
              </w:rPr>
              <w:t>Funds raised far exceed volunteer time investment, financial outlay; Funds are applied in a way that strengthen the volunteer community, mission delivery, and enhances program sustainability</w:t>
            </w:r>
          </w:p>
        </w:tc>
      </w:tr>
    </w:tbl>
    <w:p w:rsidR="008A4F0D" w:rsidRDefault="008A4F0D" w:rsidP="00433439">
      <w:pPr>
        <w:pStyle w:val="Title"/>
        <w:jc w:val="left"/>
        <w:rPr>
          <w:rFonts w:ascii="Myriad Pro" w:hAnsi="Myriad Pro" w:cs="Arial"/>
          <w:b/>
          <w:sz w:val="22"/>
          <w:szCs w:val="22"/>
        </w:rPr>
      </w:pPr>
    </w:p>
    <w:p w:rsidR="008D5675" w:rsidRPr="00985D12" w:rsidRDefault="00F231CB" w:rsidP="00F231CB">
      <w:pPr>
        <w:pStyle w:val="Title"/>
        <w:jc w:val="left"/>
        <w:rPr>
          <w:rFonts w:ascii="Minion Pro" w:hAnsi="Minion Pro" w:cs="Arial"/>
          <w:sz w:val="23"/>
          <w:szCs w:val="23"/>
        </w:rPr>
      </w:pPr>
      <w:r w:rsidRPr="00985D12">
        <w:rPr>
          <w:rFonts w:ascii="Minion Pro" w:hAnsi="Minion Pro" w:cs="Arial"/>
          <w:sz w:val="23"/>
          <w:szCs w:val="23"/>
        </w:rPr>
        <w:t>*</w:t>
      </w:r>
      <w:r w:rsidRPr="00985D12">
        <w:rPr>
          <w:rFonts w:ascii="Minion Pro" w:hAnsi="Minion Pro" w:cs="Arial"/>
          <w:color w:val="FFFFFF" w:themeColor="background1"/>
          <w:sz w:val="23"/>
          <w:szCs w:val="23"/>
        </w:rPr>
        <w:t>*</w:t>
      </w:r>
      <w:r w:rsidRPr="00985D12">
        <w:rPr>
          <w:rFonts w:ascii="Minion Pro" w:hAnsi="Minion Pro" w:cs="Arial"/>
          <w:sz w:val="23"/>
          <w:szCs w:val="23"/>
        </w:rPr>
        <w:t>Projects scoring a 2 or lower on the UC Master Gardener Program Mission, Core Values and Strategic Initiatives criteria should not be considered priority projects UNLESS significant improvement is made to bring the project in line with these fundamental criteria.</w:t>
      </w:r>
    </w:p>
    <w:p w:rsidR="00711641" w:rsidRDefault="00F231CB" w:rsidP="00764941">
      <w:pPr>
        <w:pStyle w:val="Title"/>
        <w:jc w:val="left"/>
        <w:rPr>
          <w:rFonts w:ascii="Minion Pro" w:hAnsi="Minion Pro" w:cs="Arial"/>
          <w:sz w:val="23"/>
          <w:szCs w:val="23"/>
        </w:rPr>
      </w:pPr>
      <w:r w:rsidRPr="00985D12">
        <w:rPr>
          <w:rFonts w:ascii="Minion Pro" w:hAnsi="Minion Pro" w:cs="Arial"/>
          <w:sz w:val="23"/>
          <w:szCs w:val="23"/>
        </w:rPr>
        <w:t xml:space="preserve">** </w:t>
      </w:r>
      <w:r w:rsidR="00711641">
        <w:rPr>
          <w:rFonts w:ascii="Minion Pro" w:hAnsi="Minion Pro" w:cs="Arial"/>
          <w:sz w:val="23"/>
          <w:szCs w:val="23"/>
        </w:rPr>
        <w:t xml:space="preserve">Unique Areas of Brilliance are similar to </w:t>
      </w:r>
      <w:proofErr w:type="spellStart"/>
      <w:r w:rsidR="00AE33D2">
        <w:rPr>
          <w:rFonts w:ascii="Minion Pro" w:hAnsi="Minion Pro" w:cs="Arial"/>
          <w:sz w:val="23"/>
          <w:szCs w:val="23"/>
        </w:rPr>
        <w:t>Broadwell’s</w:t>
      </w:r>
      <w:proofErr w:type="spellEnd"/>
      <w:r w:rsidR="00711641">
        <w:rPr>
          <w:rFonts w:ascii="Minion Pro" w:hAnsi="Minion Pro" w:cs="Arial"/>
          <w:sz w:val="23"/>
          <w:szCs w:val="23"/>
        </w:rPr>
        <w:t xml:space="preserve"> four stages of competence’s state of ‘unconscious competence’ in which a person possesses talents and skills (either innate or practiced) that result in extremely high competence or fluency with a specific skill</w:t>
      </w:r>
    </w:p>
    <w:p w:rsidR="00D92137" w:rsidRDefault="00711641" w:rsidP="00764941">
      <w:pPr>
        <w:pStyle w:val="Title"/>
        <w:jc w:val="left"/>
      </w:pPr>
      <w:r>
        <w:rPr>
          <w:rFonts w:ascii="Minion Pro" w:hAnsi="Minion Pro" w:cs="Arial"/>
          <w:sz w:val="23"/>
          <w:szCs w:val="23"/>
        </w:rPr>
        <w:t>***</w:t>
      </w:r>
      <w:r w:rsidR="00F231CB" w:rsidRPr="00985D12">
        <w:rPr>
          <w:rFonts w:ascii="Minion Pro" w:hAnsi="Minion Pro" w:cs="Arial"/>
          <w:sz w:val="23"/>
          <w:szCs w:val="23"/>
        </w:rPr>
        <w:t>Assessment of Return on Investment (ROI)</w:t>
      </w:r>
      <w:r w:rsidR="00026761">
        <w:rPr>
          <w:rFonts w:ascii="Minion Pro" w:hAnsi="Minion Pro" w:cs="Arial"/>
          <w:sz w:val="23"/>
          <w:szCs w:val="23"/>
        </w:rPr>
        <w:t xml:space="preserve"> </w:t>
      </w:r>
      <w:r w:rsidR="00F231CB" w:rsidRPr="00985D12">
        <w:rPr>
          <w:rFonts w:ascii="Minion Pro" w:hAnsi="Minion Pro" w:cs="Arial"/>
          <w:sz w:val="23"/>
          <w:szCs w:val="23"/>
        </w:rPr>
        <w:t xml:space="preserve">should include consideration of both direct financial outlay </w:t>
      </w:r>
      <w:r w:rsidR="005649B1">
        <w:rPr>
          <w:rFonts w:ascii="Minion Pro" w:hAnsi="Minion Pro" w:cs="Arial"/>
          <w:sz w:val="23"/>
          <w:szCs w:val="23"/>
        </w:rPr>
        <w:t xml:space="preserve">(supplies, rental fees, refreshments) </w:t>
      </w:r>
      <w:r w:rsidR="00F231CB" w:rsidRPr="00985D12">
        <w:rPr>
          <w:rFonts w:ascii="Minion Pro" w:hAnsi="Minion Pro" w:cs="Arial"/>
          <w:sz w:val="23"/>
          <w:szCs w:val="23"/>
        </w:rPr>
        <w:t>and</w:t>
      </w:r>
      <w:r w:rsidR="00EB6EE0" w:rsidRPr="00EB6EE0">
        <w:rPr>
          <w:rFonts w:ascii="Minion Pro" w:hAnsi="Minion Pro" w:cs="Arial"/>
          <w:sz w:val="23"/>
          <w:szCs w:val="23"/>
        </w:rPr>
        <w:t xml:space="preserve"> </w:t>
      </w:r>
      <w:hyperlink r:id="rId10" w:history="1">
        <w:r w:rsidR="00EB6EE0" w:rsidRPr="00EB6EE0">
          <w:rPr>
            <w:rStyle w:val="Hyperlink"/>
            <w:rFonts w:ascii="Minion Pro" w:hAnsi="Minion Pro" w:cs="Arial"/>
            <w:sz w:val="23"/>
            <w:szCs w:val="23"/>
          </w:rPr>
          <w:t>volunteer hour</w:t>
        </w:r>
      </w:hyperlink>
      <w:r w:rsidR="00F231CB" w:rsidRPr="00985D12">
        <w:rPr>
          <w:rFonts w:ascii="Minion Pro" w:hAnsi="Minion Pro" w:cs="Arial"/>
          <w:sz w:val="23"/>
          <w:szCs w:val="23"/>
        </w:rPr>
        <w:t xml:space="preserve"> investment</w:t>
      </w:r>
      <w:r w:rsidR="00AE33D2">
        <w:rPr>
          <w:rFonts w:ascii="Minion Pro" w:hAnsi="Minion Pro" w:cs="Arial"/>
          <w:sz w:val="23"/>
          <w:szCs w:val="23"/>
        </w:rPr>
        <w:t>.</w:t>
      </w:r>
    </w:p>
    <w:sectPr w:rsidR="00D92137" w:rsidSect="00764941">
      <w:headerReference w:type="even" r:id="rId11"/>
      <w:headerReference w:type="default" r:id="rId12"/>
      <w:footerReference w:type="even" r:id="rId13"/>
      <w:footerReference w:type="default" r:id="rId14"/>
      <w:headerReference w:type="first" r:id="rId15"/>
      <w:footerReference w:type="first" r:id="rId16"/>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46B" w:rsidRDefault="00AF446B" w:rsidP="00A07F2A">
      <w:r>
        <w:separator/>
      </w:r>
    </w:p>
  </w:endnote>
  <w:endnote w:type="continuationSeparator" w:id="0">
    <w:p w:rsidR="00AF446B" w:rsidRDefault="00AF446B" w:rsidP="00A0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ythagoras">
    <w:altName w:val="Times New Roman"/>
    <w:charset w:val="00"/>
    <w:family w:val="auto"/>
    <w:pitch w:val="default"/>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4" w:rsidRDefault="007946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2D6C" w:rsidRPr="00ED1823" w:rsidRDefault="006E75A3" w:rsidP="00ED1823">
    <w:pPr>
      <w:pStyle w:val="Footer"/>
      <w:jc w:val="right"/>
    </w:pPr>
    <w:r w:rsidRPr="00ED1823">
      <w:t>____ /</w:t>
    </w:r>
    <w:r w:rsidR="009D0041">
      <w:t xml:space="preserve"> 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4" w:rsidRDefault="00794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46B" w:rsidRDefault="00AF446B" w:rsidP="00A07F2A">
      <w:r>
        <w:separator/>
      </w:r>
    </w:p>
  </w:footnote>
  <w:footnote w:type="continuationSeparator" w:id="0">
    <w:p w:rsidR="00AF446B" w:rsidRDefault="00AF446B" w:rsidP="00A0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644" w:rsidRDefault="00794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1E" w:rsidRPr="00B0291E" w:rsidRDefault="006E75A3" w:rsidP="00570013">
    <w:pPr>
      <w:pStyle w:val="Title"/>
      <w:jc w:val="left"/>
      <w:rPr>
        <w:rFonts w:ascii="Myriad Pro" w:hAnsi="Myriad Pro" w:cs="Arial"/>
        <w:sz w:val="20"/>
        <w:szCs w:val="20"/>
      </w:rPr>
    </w:pPr>
    <w:r w:rsidRPr="00B0291E">
      <w:rPr>
        <w:rFonts w:ascii="Myriad Pro" w:hAnsi="Myriad Pro" w:cs="Arial"/>
        <w:sz w:val="20"/>
        <w:szCs w:val="20"/>
      </w:rPr>
      <w:t>UC Master Gardener Program</w:t>
    </w:r>
  </w:p>
  <w:p w:rsidR="00FE4C62" w:rsidRPr="00B0291E" w:rsidRDefault="006E75A3" w:rsidP="00570013">
    <w:pPr>
      <w:pStyle w:val="Title"/>
      <w:jc w:val="both"/>
      <w:rPr>
        <w:rFonts w:ascii="Myriad Pro" w:hAnsi="Myriad Pro" w:cs="Arial"/>
        <w:sz w:val="20"/>
        <w:szCs w:val="20"/>
      </w:rPr>
    </w:pPr>
    <w:r w:rsidRPr="00B0291E">
      <w:rPr>
        <w:rFonts w:ascii="Myriad Pro" w:hAnsi="Myriad Pro" w:cs="Arial"/>
        <w:sz w:val="20"/>
        <w:szCs w:val="20"/>
      </w:rPr>
      <w:t>Project Prioritization Rubric</w:t>
    </w:r>
    <w:r>
      <w:rPr>
        <w:rFonts w:ascii="Myriad Pro" w:hAnsi="Myriad Pro" w:cs="Arial"/>
        <w:sz w:val="20"/>
        <w:szCs w:val="20"/>
      </w:rPr>
      <w:t xml:space="preserve"> </w:t>
    </w:r>
    <w:r w:rsidR="009F3575">
      <w:rPr>
        <w:rFonts w:ascii="Myriad Pro" w:hAnsi="Myriad Pro" w:cs="Arial"/>
        <w:sz w:val="20"/>
        <w:szCs w:val="20"/>
      </w:rPr>
      <w:t xml:space="preserve">v. </w:t>
    </w:r>
    <w:r w:rsidR="009F3575">
      <w:rPr>
        <w:rFonts w:ascii="Myriad Pro" w:hAnsi="Myriad Pro" w:cs="Arial"/>
        <w:sz w:val="20"/>
        <w:szCs w:val="20"/>
      </w:rPr>
      <w:t>3</w:t>
    </w:r>
    <w:r w:rsidR="00D55627">
      <w:rPr>
        <w:rFonts w:ascii="Myriad Pro" w:hAnsi="Myriad Pro" w:cs="Arial"/>
        <w:sz w:val="20"/>
        <w:szCs w:val="20"/>
      </w:rPr>
      <w:t>.</w:t>
    </w:r>
    <w:r w:rsidR="009F3575">
      <w:rPr>
        <w:rFonts w:ascii="Myriad Pro" w:hAnsi="Myriad Pro" w:cs="Arial"/>
        <w:sz w:val="20"/>
        <w:szCs w:val="20"/>
      </w:rPr>
      <w:t>1</w:t>
    </w:r>
    <w:r w:rsidR="004C3F55">
      <w:rPr>
        <w:rFonts w:ascii="Myriad Pro" w:hAnsi="Myriad Pro" w:cs="Arial"/>
        <w:sz w:val="20"/>
        <w:szCs w:val="20"/>
      </w:rPr>
      <w:t>6</w:t>
    </w:r>
    <w:r w:rsidR="0070145A">
      <w:rPr>
        <w:rFonts w:ascii="Myriad Pro" w:hAnsi="Myriad Pro" w:cs="Arial"/>
        <w:sz w:val="20"/>
        <w:szCs w:val="20"/>
      </w:rPr>
      <w:t>.</w:t>
    </w:r>
    <w:r w:rsidR="009F3575">
      <w:rPr>
        <w:rFonts w:ascii="Myriad Pro" w:hAnsi="Myriad Pro" w:cs="Arial"/>
        <w:sz w:val="20"/>
        <w:szCs w:val="20"/>
      </w:rPr>
      <w:t>21</w:t>
    </w:r>
    <w:bookmarkStart w:id="0" w:name="_GoBack"/>
    <w:bookmarkEnd w:id="0"/>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EF6F89">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D560F7">
      <w:rPr>
        <w:rFonts w:ascii="Myriad Pro" w:hAnsi="Myriad Pro" w:cs="Arial"/>
        <w:sz w:val="20"/>
        <w:szCs w:val="20"/>
      </w:rPr>
      <w:tab/>
    </w:r>
    <w:r w:rsidR="00EF6F89">
      <w:rPr>
        <w:rFonts w:ascii="Myriad Pro" w:hAnsi="Myriad Pro" w:cs="Arial"/>
        <w:sz w:val="20"/>
        <w:szCs w:val="20"/>
      </w:rPr>
      <w:t>Project: 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1F" w:rsidRDefault="009F35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4625" o:spid="_x0000_s2049" type="#_x0000_t136" style="position:absolute;margin-left:0;margin-top:0;width:571.05pt;height:190.35pt;rotation:315;z-index:-251658752;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BB"/>
    <w:multiLevelType w:val="hybridMultilevel"/>
    <w:tmpl w:val="06D8F894"/>
    <w:lvl w:ilvl="0" w:tplc="0024BEA2">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2158BE"/>
    <w:multiLevelType w:val="hybridMultilevel"/>
    <w:tmpl w:val="BBD6B62C"/>
    <w:lvl w:ilvl="0" w:tplc="54C475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16776E"/>
    <w:multiLevelType w:val="hybridMultilevel"/>
    <w:tmpl w:val="935EE1CA"/>
    <w:lvl w:ilvl="0" w:tplc="54C475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06C33"/>
    <w:multiLevelType w:val="hybridMultilevel"/>
    <w:tmpl w:val="6D060E5E"/>
    <w:lvl w:ilvl="0" w:tplc="04090001">
      <w:start w:val="1"/>
      <w:numFmt w:val="bullet"/>
      <w:lvlText w:val=""/>
      <w:lvlJc w:val="left"/>
      <w:pPr>
        <w:tabs>
          <w:tab w:val="num" w:pos="720"/>
        </w:tabs>
        <w:ind w:left="720" w:hanging="360"/>
      </w:pPr>
      <w:rPr>
        <w:rFonts w:ascii="Symbol" w:hAnsi="Symbol" w:hint="default"/>
      </w:rPr>
    </w:lvl>
    <w:lvl w:ilvl="1" w:tplc="553AE966" w:tentative="1">
      <w:start w:val="1"/>
      <w:numFmt w:val="bullet"/>
      <w:lvlText w:val="•"/>
      <w:lvlJc w:val="left"/>
      <w:pPr>
        <w:tabs>
          <w:tab w:val="num" w:pos="1440"/>
        </w:tabs>
        <w:ind w:left="1440" w:hanging="360"/>
      </w:pPr>
      <w:rPr>
        <w:rFonts w:ascii="Arial" w:hAnsi="Arial" w:hint="default"/>
      </w:rPr>
    </w:lvl>
    <w:lvl w:ilvl="2" w:tplc="8D987636" w:tentative="1">
      <w:start w:val="1"/>
      <w:numFmt w:val="bullet"/>
      <w:lvlText w:val="•"/>
      <w:lvlJc w:val="left"/>
      <w:pPr>
        <w:tabs>
          <w:tab w:val="num" w:pos="2160"/>
        </w:tabs>
        <w:ind w:left="2160" w:hanging="360"/>
      </w:pPr>
      <w:rPr>
        <w:rFonts w:ascii="Arial" w:hAnsi="Arial" w:hint="default"/>
      </w:rPr>
    </w:lvl>
    <w:lvl w:ilvl="3" w:tplc="79CCF05A" w:tentative="1">
      <w:start w:val="1"/>
      <w:numFmt w:val="bullet"/>
      <w:lvlText w:val="•"/>
      <w:lvlJc w:val="left"/>
      <w:pPr>
        <w:tabs>
          <w:tab w:val="num" w:pos="2880"/>
        </w:tabs>
        <w:ind w:left="2880" w:hanging="360"/>
      </w:pPr>
      <w:rPr>
        <w:rFonts w:ascii="Arial" w:hAnsi="Arial" w:hint="default"/>
      </w:rPr>
    </w:lvl>
    <w:lvl w:ilvl="4" w:tplc="551EB6AA" w:tentative="1">
      <w:start w:val="1"/>
      <w:numFmt w:val="bullet"/>
      <w:lvlText w:val="•"/>
      <w:lvlJc w:val="left"/>
      <w:pPr>
        <w:tabs>
          <w:tab w:val="num" w:pos="3600"/>
        </w:tabs>
        <w:ind w:left="3600" w:hanging="360"/>
      </w:pPr>
      <w:rPr>
        <w:rFonts w:ascii="Arial" w:hAnsi="Arial" w:hint="default"/>
      </w:rPr>
    </w:lvl>
    <w:lvl w:ilvl="5" w:tplc="08700624" w:tentative="1">
      <w:start w:val="1"/>
      <w:numFmt w:val="bullet"/>
      <w:lvlText w:val="•"/>
      <w:lvlJc w:val="left"/>
      <w:pPr>
        <w:tabs>
          <w:tab w:val="num" w:pos="4320"/>
        </w:tabs>
        <w:ind w:left="4320" w:hanging="360"/>
      </w:pPr>
      <w:rPr>
        <w:rFonts w:ascii="Arial" w:hAnsi="Arial" w:hint="default"/>
      </w:rPr>
    </w:lvl>
    <w:lvl w:ilvl="6" w:tplc="F10AB968" w:tentative="1">
      <w:start w:val="1"/>
      <w:numFmt w:val="bullet"/>
      <w:lvlText w:val="•"/>
      <w:lvlJc w:val="left"/>
      <w:pPr>
        <w:tabs>
          <w:tab w:val="num" w:pos="5040"/>
        </w:tabs>
        <w:ind w:left="5040" w:hanging="360"/>
      </w:pPr>
      <w:rPr>
        <w:rFonts w:ascii="Arial" w:hAnsi="Arial" w:hint="default"/>
      </w:rPr>
    </w:lvl>
    <w:lvl w:ilvl="7" w:tplc="3D80B1AC" w:tentative="1">
      <w:start w:val="1"/>
      <w:numFmt w:val="bullet"/>
      <w:lvlText w:val="•"/>
      <w:lvlJc w:val="left"/>
      <w:pPr>
        <w:tabs>
          <w:tab w:val="num" w:pos="5760"/>
        </w:tabs>
        <w:ind w:left="5760" w:hanging="360"/>
      </w:pPr>
      <w:rPr>
        <w:rFonts w:ascii="Arial" w:hAnsi="Arial" w:hint="default"/>
      </w:rPr>
    </w:lvl>
    <w:lvl w:ilvl="8" w:tplc="9A6C90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0C79A1"/>
    <w:multiLevelType w:val="hybridMultilevel"/>
    <w:tmpl w:val="E8B6341E"/>
    <w:lvl w:ilvl="0" w:tplc="54C475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83E8F"/>
    <w:multiLevelType w:val="hybridMultilevel"/>
    <w:tmpl w:val="8C16A7F8"/>
    <w:lvl w:ilvl="0" w:tplc="54C475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A36B3"/>
    <w:multiLevelType w:val="hybridMultilevel"/>
    <w:tmpl w:val="4744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B4253E"/>
    <w:multiLevelType w:val="hybridMultilevel"/>
    <w:tmpl w:val="DE32C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FE1656"/>
    <w:multiLevelType w:val="hybridMultilevel"/>
    <w:tmpl w:val="9558B9B6"/>
    <w:lvl w:ilvl="0" w:tplc="54C4752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0"/>
  </w:num>
  <w:num w:numId="5">
    <w:abstractNumId w:val="2"/>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39"/>
    <w:rsid w:val="00026761"/>
    <w:rsid w:val="0005071B"/>
    <w:rsid w:val="000661EA"/>
    <w:rsid w:val="000C0439"/>
    <w:rsid w:val="00195FCB"/>
    <w:rsid w:val="001B33CE"/>
    <w:rsid w:val="00286A1C"/>
    <w:rsid w:val="002B494E"/>
    <w:rsid w:val="00433439"/>
    <w:rsid w:val="00442290"/>
    <w:rsid w:val="004C344B"/>
    <w:rsid w:val="004C3F55"/>
    <w:rsid w:val="005649B1"/>
    <w:rsid w:val="0057413F"/>
    <w:rsid w:val="00585725"/>
    <w:rsid w:val="005D5F65"/>
    <w:rsid w:val="00657E0D"/>
    <w:rsid w:val="006C3392"/>
    <w:rsid w:val="006C34C6"/>
    <w:rsid w:val="006E75A3"/>
    <w:rsid w:val="0070145A"/>
    <w:rsid w:val="00711641"/>
    <w:rsid w:val="00741091"/>
    <w:rsid w:val="00764941"/>
    <w:rsid w:val="00794644"/>
    <w:rsid w:val="007C2670"/>
    <w:rsid w:val="007C7AFC"/>
    <w:rsid w:val="00805AD2"/>
    <w:rsid w:val="00870054"/>
    <w:rsid w:val="008A4F0D"/>
    <w:rsid w:val="008B08CA"/>
    <w:rsid w:val="008D5675"/>
    <w:rsid w:val="0094679A"/>
    <w:rsid w:val="00984111"/>
    <w:rsid w:val="00985D12"/>
    <w:rsid w:val="009B655B"/>
    <w:rsid w:val="009C1385"/>
    <w:rsid w:val="009D0041"/>
    <w:rsid w:val="009D3F3F"/>
    <w:rsid w:val="009F3575"/>
    <w:rsid w:val="00A07F2A"/>
    <w:rsid w:val="00AE33D2"/>
    <w:rsid w:val="00AF446B"/>
    <w:rsid w:val="00B47A6F"/>
    <w:rsid w:val="00C237CB"/>
    <w:rsid w:val="00C27DF7"/>
    <w:rsid w:val="00C42542"/>
    <w:rsid w:val="00CA5284"/>
    <w:rsid w:val="00CB095A"/>
    <w:rsid w:val="00CE0DA3"/>
    <w:rsid w:val="00D018D3"/>
    <w:rsid w:val="00D55627"/>
    <w:rsid w:val="00D560F7"/>
    <w:rsid w:val="00D92137"/>
    <w:rsid w:val="00E82CE9"/>
    <w:rsid w:val="00EB6EE0"/>
    <w:rsid w:val="00EF6F89"/>
    <w:rsid w:val="00F231CB"/>
    <w:rsid w:val="00F85402"/>
    <w:rsid w:val="00F8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2579DA8"/>
  <w15:chartTrackingRefBased/>
  <w15:docId w15:val="{D59491EF-0D72-4C5F-ABE4-588D992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3439"/>
    <w:pPr>
      <w:jc w:val="center"/>
    </w:pPr>
    <w:rPr>
      <w:rFonts w:ascii="Pythagoras" w:hAnsi="Pythagoras"/>
      <w:sz w:val="48"/>
    </w:rPr>
  </w:style>
  <w:style w:type="character" w:customStyle="1" w:styleId="TitleChar">
    <w:name w:val="Title Char"/>
    <w:basedOn w:val="DefaultParagraphFont"/>
    <w:link w:val="Title"/>
    <w:rsid w:val="00433439"/>
    <w:rPr>
      <w:rFonts w:ascii="Pythagoras" w:eastAsia="Times New Roman" w:hAnsi="Pythagoras" w:cs="Times New Roman"/>
      <w:sz w:val="48"/>
      <w:szCs w:val="24"/>
    </w:rPr>
  </w:style>
  <w:style w:type="character" w:styleId="Hyperlink">
    <w:name w:val="Hyperlink"/>
    <w:uiPriority w:val="99"/>
    <w:unhideWhenUsed/>
    <w:rsid w:val="00433439"/>
    <w:rPr>
      <w:color w:val="0563C1"/>
      <w:u w:val="single"/>
    </w:rPr>
  </w:style>
  <w:style w:type="paragraph" w:styleId="Header">
    <w:name w:val="header"/>
    <w:basedOn w:val="Normal"/>
    <w:link w:val="HeaderChar"/>
    <w:uiPriority w:val="99"/>
    <w:unhideWhenUsed/>
    <w:rsid w:val="00433439"/>
    <w:pPr>
      <w:tabs>
        <w:tab w:val="center" w:pos="4680"/>
        <w:tab w:val="right" w:pos="9360"/>
      </w:tabs>
    </w:pPr>
  </w:style>
  <w:style w:type="character" w:customStyle="1" w:styleId="HeaderChar">
    <w:name w:val="Header Char"/>
    <w:basedOn w:val="DefaultParagraphFont"/>
    <w:link w:val="Header"/>
    <w:uiPriority w:val="99"/>
    <w:rsid w:val="004334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439"/>
    <w:pPr>
      <w:tabs>
        <w:tab w:val="center" w:pos="4680"/>
        <w:tab w:val="right" w:pos="9360"/>
      </w:tabs>
    </w:pPr>
  </w:style>
  <w:style w:type="character" w:customStyle="1" w:styleId="FooterChar">
    <w:name w:val="Footer Char"/>
    <w:basedOn w:val="DefaultParagraphFont"/>
    <w:link w:val="Footer"/>
    <w:uiPriority w:val="99"/>
    <w:rsid w:val="00433439"/>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B6E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anr.edu/sites/anrstaff/files/1194.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g.ucanr.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independentsector.org/value-of-volunteer-time-2020/" TargetMode="External"/><Relationship Id="rId4" Type="http://schemas.openxmlformats.org/officeDocument/2006/relationships/webSettings" Target="webSettings.xml"/><Relationship Id="rId9" Type="http://schemas.openxmlformats.org/officeDocument/2006/relationships/hyperlink" Target="https://ucanr.edu/sites/StrategicInitiative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867</Words>
  <Characters>4946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Ann Coyne</dc:creator>
  <cp:keywords/>
  <dc:description/>
  <cp:lastModifiedBy>Marisa Ann Coyne</cp:lastModifiedBy>
  <cp:revision>3</cp:revision>
  <dcterms:created xsi:type="dcterms:W3CDTF">2021-03-03T23:32:00Z</dcterms:created>
  <dcterms:modified xsi:type="dcterms:W3CDTF">2021-04-21T20:43:00Z</dcterms:modified>
</cp:coreProperties>
</file>