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3F749B" w14:textId="31E1B949" w:rsidR="00297B5A" w:rsidRDefault="00572307">
      <w:r>
        <w:t xml:space="preserve">Estimating the GHG impacts of fuels treatments in </w:t>
      </w:r>
      <w:r w:rsidR="00F13A3D">
        <w:t xml:space="preserve">California </w:t>
      </w:r>
      <w:r>
        <w:t xml:space="preserve">forests </w:t>
      </w:r>
    </w:p>
    <w:p w14:paraId="3A694603" w14:textId="1FEE3B95" w:rsidR="00572307" w:rsidRDefault="003B6B95">
      <w:r>
        <w:t xml:space="preserve">Bill Stewart and Carlin Starrs, UC Center for Forestry, </w:t>
      </w:r>
      <w:r w:rsidR="00DD3D1B">
        <w:t>September</w:t>
      </w:r>
      <w:r w:rsidR="00DD3D1B">
        <w:t xml:space="preserve"> </w:t>
      </w:r>
      <w:r>
        <w:t>2015</w:t>
      </w:r>
    </w:p>
    <w:p w14:paraId="76433E94" w14:textId="77777777" w:rsidR="00AE23C0" w:rsidRDefault="00AE23C0"/>
    <w:p w14:paraId="67BE445D" w14:textId="77777777" w:rsidR="00676447" w:rsidRDefault="00C1438B" w:rsidP="0025308E">
      <w:r w:rsidRPr="004D0872">
        <w:rPr>
          <w:b/>
        </w:rPr>
        <w:t>The Challenge:</w:t>
      </w:r>
      <w:r>
        <w:t xml:space="preserve"> </w:t>
      </w:r>
      <w:r w:rsidR="00E63028">
        <w:t xml:space="preserve">California’s forests have experienced an increase in large and often severe wildfires over the past few decades. Numerous projections have suggested that conditions could increase the area of large wildfires over the next few decades. Fuels reduction projects </w:t>
      </w:r>
      <w:r w:rsidR="00784BF6">
        <w:t>are</w:t>
      </w:r>
      <w:r w:rsidR="00E63028">
        <w:t xml:space="preserve"> promoted by state and federal agencies to reduce the size and severity of future wildfires. There has been recent interest in exploring whether the benefits of fuels reduction projects could justify additional expenditures from funds for greenhouse gas reduction actions. </w:t>
      </w:r>
      <w:r w:rsidR="00784BF6">
        <w:t xml:space="preserve">Many published </w:t>
      </w:r>
      <w:r w:rsidR="007154E7">
        <w:t xml:space="preserve">reports and </w:t>
      </w:r>
      <w:r w:rsidR="00784BF6">
        <w:t xml:space="preserve">articles are based on complex models </w:t>
      </w:r>
      <w:r w:rsidR="007154E7">
        <w:t>with</w:t>
      </w:r>
      <w:r w:rsidR="00784BF6">
        <w:t xml:space="preserve"> very specific set of assumptions. </w:t>
      </w:r>
      <w:r w:rsidR="00177ECF">
        <w:t xml:space="preserve">We developed </w:t>
      </w:r>
      <w:r w:rsidR="00F13A3D">
        <w:t xml:space="preserve">the ‘Fuels Treatment and Carbon’ </w:t>
      </w:r>
      <w:r w:rsidR="00177ECF">
        <w:t>spreadsheet tool</w:t>
      </w:r>
      <w:r w:rsidR="00F13A3D">
        <w:rPr>
          <w:rStyle w:val="FootnoteReference"/>
        </w:rPr>
        <w:footnoteReference w:id="1"/>
      </w:r>
      <w:r w:rsidR="00177ECF">
        <w:t xml:space="preserve"> </w:t>
      </w:r>
      <w:r w:rsidR="00784BF6">
        <w:t xml:space="preserve">to </w:t>
      </w:r>
      <w:r w:rsidR="00177ECF">
        <w:t>allow users to</w:t>
      </w:r>
      <w:r w:rsidR="00784BF6">
        <w:t xml:space="preserve"> </w:t>
      </w:r>
      <w:r w:rsidR="007154E7">
        <w:t xml:space="preserve"> use a basic </w:t>
      </w:r>
      <w:r w:rsidR="007154E7" w:rsidRPr="00627A41">
        <w:rPr>
          <w:u w:val="single"/>
        </w:rPr>
        <w:t>mass balance approach</w:t>
      </w:r>
      <w:r w:rsidR="007154E7">
        <w:t xml:space="preserve"> to </w:t>
      </w:r>
      <w:r w:rsidR="00784BF6">
        <w:t>estimate outcomes for a set of projects with</w:t>
      </w:r>
      <w:r w:rsidR="0025308E">
        <w:t xml:space="preserve"> </w:t>
      </w:r>
      <w:r w:rsidR="00116A72">
        <w:t>assumptions</w:t>
      </w:r>
      <w:r w:rsidR="00116A72" w:rsidRPr="00116A72">
        <w:t xml:space="preserve"> </w:t>
      </w:r>
      <w:r w:rsidR="00784BF6">
        <w:t xml:space="preserve">that can easily be modified by the user on </w:t>
      </w:r>
      <w:r w:rsidR="00116A72">
        <w:t xml:space="preserve">forest growth, </w:t>
      </w:r>
      <w:r w:rsidR="00784BF6">
        <w:t xml:space="preserve">different treatments, future </w:t>
      </w:r>
      <w:r w:rsidR="00116A72">
        <w:t>wildfire losses and how harvested products will be used in California</w:t>
      </w:r>
      <w:r w:rsidR="00784BF6">
        <w:t xml:space="preserve">. </w:t>
      </w:r>
      <w:r w:rsidR="004D0872" w:rsidRPr="00A41368">
        <w:rPr>
          <w:b/>
        </w:rPr>
        <w:t xml:space="preserve">While there is a high probability that most forests in California will be affected by a wildfire over the next century, our initial analysis concludes that simply trading future avoided emissions for planned current emissions will not have a positive climate benefit during the project period </w:t>
      </w:r>
      <w:r w:rsidR="004D0872" w:rsidRPr="00FD36F8">
        <w:rPr>
          <w:b/>
          <w:u w:val="single"/>
        </w:rPr>
        <w:t>unless</w:t>
      </w:r>
      <w:r w:rsidR="004D0872" w:rsidRPr="00A41368">
        <w:rPr>
          <w:b/>
        </w:rPr>
        <w:t xml:space="preserve"> </w:t>
      </w:r>
      <w:r w:rsidR="00627A41">
        <w:rPr>
          <w:b/>
        </w:rPr>
        <w:t xml:space="preserve">some of </w:t>
      </w:r>
      <w:r w:rsidR="004D0872" w:rsidRPr="00A41368">
        <w:rPr>
          <w:b/>
        </w:rPr>
        <w:t>the harvested products are used and/or the treatments reduce the severity of future wildfires.</w:t>
      </w:r>
      <w:r w:rsidR="004D0872">
        <w:t xml:space="preserve"> </w:t>
      </w:r>
    </w:p>
    <w:p w14:paraId="36ED5AA4" w14:textId="77777777" w:rsidR="00DD3D1B" w:rsidRDefault="00DD3D1B" w:rsidP="0025308E"/>
    <w:p w14:paraId="49082CE0" w14:textId="3D8E6042" w:rsidR="00CF3386" w:rsidRDefault="00676447" w:rsidP="0025308E">
      <w:r>
        <w:t>The</w:t>
      </w:r>
      <w:r w:rsidR="00CF3386">
        <w:t xml:space="preserve"> lack of clear benefit is partially</w:t>
      </w:r>
      <w:r>
        <w:t xml:space="preserve"> a product of u</w:t>
      </w:r>
      <w:r w:rsidR="00CF3386">
        <w:t>sing current</w:t>
      </w:r>
      <w:r>
        <w:t xml:space="preserve"> conditions as a baseline for assessing potential change in carbon stocks. Current forests have greater overall carbon stocks compared to historical forest condition</w:t>
      </w:r>
      <w:r w:rsidR="00CF3386">
        <w:t>s</w:t>
      </w:r>
      <w:r>
        <w:t xml:space="preserve"> (i.e., prior to fire suppression</w:t>
      </w:r>
      <w:r w:rsidR="00DD3D1B">
        <w:t>,</w:t>
      </w:r>
      <w:r>
        <w:t xml:space="preserve"> widespread timber harvesting</w:t>
      </w:r>
      <w:r w:rsidR="00DD3D1B">
        <w:t>, and natural regeneration</w:t>
      </w:r>
      <w:r>
        <w:t>). Furthermore, the distribution of live tree carbon in current forests</w:t>
      </w:r>
      <w:r w:rsidR="00CF3386">
        <w:t xml:space="preserve"> is shifted towards smaller, </w:t>
      </w:r>
      <w:r>
        <w:t>less fire tolerant trees</w:t>
      </w:r>
      <w:r w:rsidR="00CF3386">
        <w:t>. Beyond the widespread changes in forest structure, current fire frequencies are considerably depressed relative to historical frequencies</w:t>
      </w:r>
      <w:r>
        <w:t xml:space="preserve">. </w:t>
      </w:r>
      <w:r w:rsidR="00CF3386">
        <w:t>This is due to efficacy of fire suppression agencies. These changes have allowed for an uncharacteristic accumulation of carbon in current forests that, despite having high potential for loss to fire (i.e., hazard)</w:t>
      </w:r>
      <w:r w:rsidR="000202ED">
        <w:t>, actually have</w:t>
      </w:r>
      <w:r w:rsidR="00CF3386">
        <w:t xml:space="preserve"> relatively low risk due to the extremely low probability of fire occurrence over the last 50+ years. However, maintaining these low fire probabilities into the future is unlikely given recent climate projections. Additionally, when fire does impact high carbon density stands it not only has the potential for greater proportions of overstory mortality relative to historical levels, it likely will reduce to ability to accumulate carbon through regrowth for several decades.</w:t>
      </w:r>
    </w:p>
    <w:p w14:paraId="0A7B4AB3" w14:textId="77777777" w:rsidR="00DD3D1B" w:rsidRDefault="00DD3D1B" w:rsidP="0025308E"/>
    <w:p w14:paraId="0002E251" w14:textId="59AE6171" w:rsidR="00F13A3D" w:rsidRDefault="00784BF6" w:rsidP="0025308E">
      <w:r>
        <w:t xml:space="preserve">The figure below </w:t>
      </w:r>
      <w:r w:rsidR="00892CB9">
        <w:t xml:space="preserve">illustrates the </w:t>
      </w:r>
      <w:r w:rsidR="00D764C5">
        <w:t xml:space="preserve">numerous </w:t>
      </w:r>
      <w:r w:rsidR="00892CB9">
        <w:t>steps</w:t>
      </w:r>
      <w:r w:rsidR="002357F5">
        <w:t xml:space="preserve"> and assumptions required to go</w:t>
      </w:r>
      <w:r w:rsidR="00892CB9">
        <w:t xml:space="preserve"> from </w:t>
      </w:r>
      <w:r w:rsidR="002357F5">
        <w:t>a</w:t>
      </w:r>
      <w:r w:rsidR="00892CB9">
        <w:t xml:space="preserve"> carbon pool profile of a forest type and then considering how different treatments, biomass utilization, and future wildfire severity factors </w:t>
      </w:r>
      <w:r w:rsidR="002357F5">
        <w:t xml:space="preserve">to finally </w:t>
      </w:r>
      <w:r w:rsidR="00892CB9">
        <w:t xml:space="preserve">generate a range of estimate GHG outcomes. </w:t>
      </w:r>
    </w:p>
    <w:p w14:paraId="1EAF25A4" w14:textId="78B08437" w:rsidR="00B22F63" w:rsidRDefault="0073779F" w:rsidP="00EA43FA">
      <w:pPr>
        <w:tabs>
          <w:tab w:val="left" w:pos="0"/>
        </w:tabs>
      </w:pPr>
      <w:r>
        <w:t xml:space="preserve"> </w:t>
      </w:r>
    </w:p>
    <w:p w14:paraId="4989D3E3" w14:textId="1A1A38EF" w:rsidR="002357F5" w:rsidRDefault="002357F5" w:rsidP="00CA07B1">
      <w:r>
        <w:rPr>
          <w:noProof/>
        </w:rPr>
        <w:lastRenderedPageBreak/>
        <w:drawing>
          <wp:inline distT="0" distB="0" distL="0" distR="0" wp14:anchorId="70393A98" wp14:editId="577CA0A4">
            <wp:extent cx="5537200" cy="3524781"/>
            <wp:effectExtent l="0" t="0" r="0" b="6350"/>
            <wp:docPr id="3" name="Picture 3" descr="Macintosh HD:Users:bills:Documents:C calculator article 2013:flowchart4.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ls:Documents:C calculator article 2013:flowchart4.tif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7200" cy="3524781"/>
                    </a:xfrm>
                    <a:prstGeom prst="rect">
                      <a:avLst/>
                    </a:prstGeom>
                    <a:noFill/>
                    <a:ln>
                      <a:noFill/>
                    </a:ln>
                  </pic:spPr>
                </pic:pic>
              </a:graphicData>
            </a:graphic>
          </wp:inline>
        </w:drawing>
      </w:r>
    </w:p>
    <w:p w14:paraId="18BFF165" w14:textId="1A0F98F3" w:rsidR="00DD3D1B" w:rsidRDefault="00CA07B1" w:rsidP="00424F66">
      <w:r>
        <w:t>Figure 1: Flow chart to estimate climate/carbon benefits of fuels treatment projects</w:t>
      </w:r>
    </w:p>
    <w:p w14:paraId="0B1C04F9" w14:textId="3B5C8E58" w:rsidR="00CA07B1" w:rsidRDefault="00627A41" w:rsidP="00424F66">
      <w:pPr>
        <w:sectPr w:rsidR="00CA07B1" w:rsidSect="00C110F8">
          <w:footerReference w:type="even" r:id="rId10"/>
          <w:footerReference w:type="default" r:id="rId11"/>
          <w:pgSz w:w="12240" w:h="15840"/>
          <w:pgMar w:top="1170" w:right="2070" w:bottom="540" w:left="1080" w:header="720" w:footer="720" w:gutter="0"/>
          <w:cols w:space="720"/>
          <w:docGrid w:linePitch="360"/>
        </w:sectPr>
      </w:pPr>
      <w:r>
        <w:t xml:space="preserve"> </w:t>
      </w:r>
    </w:p>
    <w:p w14:paraId="3ED1C2E9" w14:textId="30E3779E" w:rsidR="00AE23C0" w:rsidRDefault="00AE23C0">
      <w:r>
        <w:lastRenderedPageBreak/>
        <w:t xml:space="preserve">The </w:t>
      </w:r>
      <w:r w:rsidR="00D44001">
        <w:t>photo</w:t>
      </w:r>
      <w:r>
        <w:t xml:space="preserve"> was taken inside the perimeter of the 2014 King Fire illustrates what </w:t>
      </w:r>
      <w:r w:rsidR="00627A41">
        <w:t xml:space="preserve">can </w:t>
      </w:r>
      <w:r w:rsidR="00753169">
        <w:t xml:space="preserve">happen </w:t>
      </w:r>
      <w:r>
        <w:t>to different forest carbon pools. In the foreground</w:t>
      </w:r>
      <w:r w:rsidR="00D44001">
        <w:t>,</w:t>
      </w:r>
      <w:r>
        <w:t xml:space="preserve"> </w:t>
      </w:r>
      <w:r w:rsidR="00D44001">
        <w:t>1</w:t>
      </w:r>
      <w:r>
        <w:t>00% of the live trees had all of foliage and branches consumed in the fire</w:t>
      </w:r>
      <w:r w:rsidR="000F6076">
        <w:t>. T</w:t>
      </w:r>
      <w:r>
        <w:t>he boles of the trees have been transformed from live tree carbon to dead tree carbon. In addition</w:t>
      </w:r>
      <w:r w:rsidR="00D764C5">
        <w:t>,</w:t>
      </w:r>
      <w:r>
        <w:t xml:space="preserve"> all snags and down wood in the forest </w:t>
      </w:r>
      <w:r w:rsidR="00D764C5">
        <w:t xml:space="preserve">was </w:t>
      </w:r>
      <w:r>
        <w:t xml:space="preserve">totally consumed. The holes in the ground are old stumps (belowground dead wood) that </w:t>
      </w:r>
      <w:r w:rsidR="000F6076">
        <w:t xml:space="preserve">were </w:t>
      </w:r>
      <w:r>
        <w:t xml:space="preserve">also </w:t>
      </w:r>
      <w:r w:rsidR="00D764C5">
        <w:t xml:space="preserve">totally </w:t>
      </w:r>
      <w:r>
        <w:t xml:space="preserve">consumed. </w:t>
      </w:r>
      <w:r w:rsidR="00753169">
        <w:t xml:space="preserve"> All forest floor carbon is gone. </w:t>
      </w:r>
      <w:r>
        <w:t>Finally, what was once an organic-rich forest soil lost large quantities of soil carbon and now has the consistency of ground up pottery. While the carbon in the newly dead trees will stay on site until the snags fall and eventually are consumed by microorganisms, the carbon pools other than what had been live trees represent the bulk of the carbon losses from the wildfire. The forest in the background retained foliage and branches</w:t>
      </w:r>
      <w:r w:rsidR="00676447">
        <w:t xml:space="preserve">, likely the result of intense surface fire rather than crown fire. Regardless of fire type, overstory mortality is nearly complete, and with it a near </w:t>
      </w:r>
      <w:r w:rsidR="00676447">
        <w:lastRenderedPageBreak/>
        <w:t>complete transition from a live, aggrading sink of carbon to dead, emitting pool</w:t>
      </w:r>
      <w:proofErr w:type="gramStart"/>
      <w:r w:rsidR="00676447">
        <w:t>.</w:t>
      </w:r>
      <w:r>
        <w:t>.</w:t>
      </w:r>
      <w:proofErr w:type="gramEnd"/>
      <w:r>
        <w:t xml:space="preserve"> The challenge is </w:t>
      </w:r>
      <w:r w:rsidR="009C248D">
        <w:t xml:space="preserve">how to generate a reasonable and comprehensive estimate of </w:t>
      </w:r>
      <w:r w:rsidR="000F6076">
        <w:t>the carbon signatures of no</w:t>
      </w:r>
      <w:r w:rsidR="009C248D">
        <w:t xml:space="preserve"> treatment (e.g. </w:t>
      </w:r>
      <w:r w:rsidR="000F6076">
        <w:t>some probability of a future</w:t>
      </w:r>
      <w:r w:rsidR="009C248D">
        <w:t xml:space="preserve"> King Fire</w:t>
      </w:r>
      <w:r w:rsidR="000F6076">
        <w:t xml:space="preserve"> or less severe fire</w:t>
      </w:r>
      <w:r w:rsidR="009C248D">
        <w:t xml:space="preserve">) </w:t>
      </w:r>
      <w:r w:rsidR="000F6076">
        <w:t>versus</w:t>
      </w:r>
      <w:r w:rsidR="009C248D">
        <w:t xml:space="preserve"> fuels reduction treatment</w:t>
      </w:r>
      <w:r w:rsidR="000F6076">
        <w:t>s.</w:t>
      </w:r>
    </w:p>
    <w:p w14:paraId="11864D13" w14:textId="77777777" w:rsidR="00AE23C0" w:rsidRDefault="00AE23C0"/>
    <w:p w14:paraId="2E94ED65" w14:textId="3638E117" w:rsidR="003C264D" w:rsidRDefault="003C264D">
      <w:r>
        <w:rPr>
          <w:noProof/>
        </w:rPr>
        <w:drawing>
          <wp:inline distT="0" distB="0" distL="0" distR="0" wp14:anchorId="51368474" wp14:editId="14F2D8E0">
            <wp:extent cx="1811180" cy="2919789"/>
            <wp:effectExtent l="0" t="0" r="0" b="1270"/>
            <wp:docPr id="2" name="Picture 2" descr="Macintosh HD:Users:bills:Documents:Blodgett:Blodgett photos temp:Burnt trees stumps and so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ls:Documents:Blodgett:Blodgett photos temp:Burnt trees stumps and soi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1671" cy="2920581"/>
                    </a:xfrm>
                    <a:prstGeom prst="rect">
                      <a:avLst/>
                    </a:prstGeom>
                    <a:noFill/>
                    <a:ln>
                      <a:noFill/>
                    </a:ln>
                  </pic:spPr>
                </pic:pic>
              </a:graphicData>
            </a:graphic>
          </wp:inline>
        </w:drawing>
      </w:r>
    </w:p>
    <w:p w14:paraId="052BB008" w14:textId="22BA059D" w:rsidR="00AE23C0" w:rsidRDefault="00CA07B1">
      <w:pPr>
        <w:sectPr w:rsidR="00AE23C0" w:rsidSect="00F13A3D">
          <w:type w:val="continuous"/>
          <w:pgSz w:w="12240" w:h="15840"/>
          <w:pgMar w:top="1170" w:right="1800" w:bottom="1440" w:left="1080" w:header="720" w:footer="720" w:gutter="0"/>
          <w:cols w:num="2" w:space="180"/>
          <w:docGrid w:linePitch="360"/>
        </w:sectPr>
      </w:pPr>
      <w:r>
        <w:t xml:space="preserve">Figure 2: </w:t>
      </w:r>
      <w:r w:rsidR="00535D1E">
        <w:t>King Fire impacts on carbon pools</w:t>
      </w:r>
    </w:p>
    <w:p w14:paraId="49280FFA" w14:textId="77777777" w:rsidR="009C248D" w:rsidRDefault="009C248D"/>
    <w:p w14:paraId="20F9C0BD" w14:textId="77777777" w:rsidR="009C248D" w:rsidRDefault="009C248D"/>
    <w:p w14:paraId="2863E11D" w14:textId="75390CD0" w:rsidR="009C248D" w:rsidRDefault="009C248D">
      <w:r>
        <w:t>To construct a simple model of the potential carbon benefits of a fuels treatment project to accompany our models for estimating the carbon benefits of timber harvest operations (</w:t>
      </w:r>
      <w:hyperlink r:id="rId13" w:history="1">
        <w:r w:rsidRPr="006A5A4A">
          <w:rPr>
            <w:rStyle w:val="Hyperlink"/>
          </w:rPr>
          <w:t>http://ucanr.edu/sites/forestry/Carbon_Sequestration_Tool_for_THPs/</w:t>
        </w:r>
      </w:hyperlink>
      <w:r>
        <w:t xml:space="preserve">), we </w:t>
      </w:r>
      <w:r w:rsidR="0025308E">
        <w:t>begin with</w:t>
      </w:r>
      <w:r w:rsidR="00753169" w:rsidRPr="00753169">
        <w:t xml:space="preserve"> </w:t>
      </w:r>
      <w:r w:rsidR="00753169">
        <w:t>specific data for different</w:t>
      </w:r>
      <w:r w:rsidR="0025308E">
        <w:t xml:space="preserve"> forest type</w:t>
      </w:r>
      <w:r w:rsidR="00753169">
        <w:t>s</w:t>
      </w:r>
      <w:r w:rsidR="0025308E">
        <w:t xml:space="preserve"> (e.g. mixed conifer, ponderosa pine) by using</w:t>
      </w:r>
      <w:r>
        <w:t xml:space="preserve"> FIA data processed with the </w:t>
      </w:r>
      <w:r w:rsidR="00753169">
        <w:t xml:space="preserve">online </w:t>
      </w:r>
      <w:r>
        <w:t>COLE reporting system</w:t>
      </w:r>
      <w:r w:rsidR="00753169">
        <w:rPr>
          <w:rStyle w:val="FootnoteReference"/>
        </w:rPr>
        <w:footnoteReference w:id="2"/>
      </w:r>
      <w:r w:rsidR="0025308E">
        <w:t xml:space="preserve">. We then apply a </w:t>
      </w:r>
      <w:r>
        <w:t>number of explicit assumptions to generate our estimated carbon signatures for different projects</w:t>
      </w:r>
      <w:r w:rsidR="00D764C5">
        <w:t>.</w:t>
      </w:r>
      <w:r w:rsidR="006C6195">
        <w:t xml:space="preserve"> </w:t>
      </w:r>
      <w:r>
        <w:t>One advantage of simple spreadsheet models is that most of the coefficients can be changed by users</w:t>
      </w:r>
      <w:r w:rsidR="00116A72">
        <w:t xml:space="preserve"> and they can immediately</w:t>
      </w:r>
      <w:r>
        <w:t xml:space="preserve"> see how the final results</w:t>
      </w:r>
      <w:r w:rsidR="00116A72">
        <w:t xml:space="preserve"> are changed</w:t>
      </w:r>
      <w:r>
        <w:t xml:space="preserve">. </w:t>
      </w:r>
    </w:p>
    <w:p w14:paraId="07C9DD35" w14:textId="77777777" w:rsidR="004D0872" w:rsidRDefault="004D0872"/>
    <w:p w14:paraId="73AFA38C" w14:textId="0CC4BBB0" w:rsidR="00572307" w:rsidRPr="00466FCC" w:rsidRDefault="00572307">
      <w:pPr>
        <w:rPr>
          <w:b/>
        </w:rPr>
      </w:pPr>
      <w:r w:rsidRPr="00466FCC">
        <w:rPr>
          <w:b/>
        </w:rPr>
        <w:t>Assumptions</w:t>
      </w:r>
    </w:p>
    <w:p w14:paraId="6209F238" w14:textId="77777777" w:rsidR="006C6195" w:rsidRDefault="006C6195"/>
    <w:p w14:paraId="26F15032" w14:textId="609F8C5F" w:rsidR="00397EA9" w:rsidRDefault="00397EA9" w:rsidP="00397EA9">
      <w:pPr>
        <w:pStyle w:val="ListParagraph"/>
        <w:numPr>
          <w:ilvl w:val="0"/>
          <w:numId w:val="3"/>
        </w:numPr>
      </w:pPr>
      <w:r>
        <w:t xml:space="preserve">Forest carbon stores at risks for eventual emission related to </w:t>
      </w:r>
      <w:r w:rsidR="00DC7434">
        <w:t>wild</w:t>
      </w:r>
      <w:r>
        <w:t>fire are roughly ½ in live trees and ½ in dead trees, down dead wood, and upper half of forest soil.  All pools must be considered to provide an unbiased estimate of carbon flux from the forest. Carbon in live trees killed in wildfire will initially be converted mainly to dead tree carbon that will fall and decompose</w:t>
      </w:r>
      <w:r w:rsidR="00DE0A53">
        <w:t>.</w:t>
      </w:r>
      <w:r>
        <w:t xml:space="preserve"> Published estimates of all carbon pools for different forest types can be obtained from the COLE reports (example below) based on FIA plot data. </w:t>
      </w:r>
    </w:p>
    <w:p w14:paraId="2540C20A" w14:textId="7C180401" w:rsidR="00397EA9" w:rsidRDefault="00397EA9" w:rsidP="00397EA9">
      <w:pPr>
        <w:pStyle w:val="ListParagraph"/>
        <w:numPr>
          <w:ilvl w:val="0"/>
          <w:numId w:val="3"/>
        </w:numPr>
      </w:pPr>
      <w:r w:rsidRPr="00662D71">
        <w:t xml:space="preserve">Forest </w:t>
      </w:r>
      <w:r>
        <w:t>g</w:t>
      </w:r>
      <w:r w:rsidRPr="00662D71">
        <w:t>rowth</w:t>
      </w:r>
      <w:r>
        <w:t xml:space="preserve"> and harvest</w:t>
      </w:r>
      <w:r w:rsidRPr="00662D71">
        <w:t xml:space="preserve"> modeling</w:t>
      </w:r>
      <w:r>
        <w:t xml:space="preserve"> – COLE’s empirical model that summarizes FIA plot based measurements of total forest stand carbon in </w:t>
      </w:r>
      <w:proofErr w:type="spellStart"/>
      <w:r>
        <w:t>tonnes</w:t>
      </w:r>
      <w:proofErr w:type="spellEnd"/>
      <w:r>
        <w:t xml:space="preserve">, not just the commercial timber yield in board feet of lumber that only considers some of volume of the tree bole. We assume the application of two fuels treatments over a 40 year project period.  The treatments are assumed to remove ~20% of total live tree and shrub biomass each entry and the resulting stand is estimated to have ~20% less total live tree biomass. </w:t>
      </w:r>
      <w:r w:rsidR="00DE0A53">
        <w:t xml:space="preserve">The </w:t>
      </w:r>
      <w:r w:rsidR="00DD3D1B">
        <w:t xml:space="preserve">probable </w:t>
      </w:r>
      <w:r w:rsidR="00DD3D1B">
        <w:t>post</w:t>
      </w:r>
      <w:r w:rsidR="00DD3D1B">
        <w:t>-</w:t>
      </w:r>
      <w:r w:rsidR="00DE0A53">
        <w:t>project benefits of lower</w:t>
      </w:r>
      <w:r w:rsidR="00CB6FC1">
        <w:t xml:space="preserve"> non-fire</w:t>
      </w:r>
      <w:r w:rsidR="00DE0A53">
        <w:t xml:space="preserve"> mortality and hence more net carbon sequestration are NOT INCLUDED in this analysis. </w:t>
      </w:r>
    </w:p>
    <w:p w14:paraId="794A3B4D" w14:textId="6B2CAD48" w:rsidR="006C6195" w:rsidRDefault="006C6195" w:rsidP="005B7079">
      <w:pPr>
        <w:pStyle w:val="ListParagraph"/>
        <w:numPr>
          <w:ilvl w:val="0"/>
          <w:numId w:val="3"/>
        </w:numPr>
      </w:pPr>
      <w:r>
        <w:t xml:space="preserve">Fuels treatments </w:t>
      </w:r>
      <w:r w:rsidR="00FA4697">
        <w:t xml:space="preserve">will </w:t>
      </w:r>
      <w:r>
        <w:t>do three major things to forest stands.</w:t>
      </w:r>
    </w:p>
    <w:p w14:paraId="2FD1FECC" w14:textId="1B5916CE" w:rsidR="006C6195" w:rsidRDefault="00A158A8" w:rsidP="005B7079">
      <w:pPr>
        <w:pStyle w:val="ListParagraph"/>
        <w:numPr>
          <w:ilvl w:val="1"/>
          <w:numId w:val="3"/>
        </w:numPr>
      </w:pPr>
      <w:r>
        <w:t>A</w:t>
      </w:r>
      <w:r w:rsidR="005157A3">
        <w:t>l</w:t>
      </w:r>
      <w:r>
        <w:t xml:space="preserve">ter </w:t>
      </w:r>
      <w:r w:rsidR="006C6195">
        <w:t xml:space="preserve">the future mix of severity, mortality, and carbon losses from </w:t>
      </w:r>
      <w:r>
        <w:t xml:space="preserve">future </w:t>
      </w:r>
      <w:r w:rsidR="006C6195">
        <w:t>wildfires</w:t>
      </w:r>
      <w:r w:rsidR="0025308E">
        <w:t xml:space="preserve">. </w:t>
      </w:r>
    </w:p>
    <w:p w14:paraId="26289B79" w14:textId="36B891D5" w:rsidR="006C6195" w:rsidRDefault="00A158A8" w:rsidP="005B7079">
      <w:pPr>
        <w:pStyle w:val="ListParagraph"/>
        <w:numPr>
          <w:ilvl w:val="1"/>
          <w:numId w:val="3"/>
        </w:numPr>
      </w:pPr>
      <w:r>
        <w:t xml:space="preserve">Convert </w:t>
      </w:r>
      <w:r w:rsidR="006C6195">
        <w:t>live tree carbon into a) offsite products (</w:t>
      </w:r>
      <w:proofErr w:type="spellStart"/>
      <w:r w:rsidR="006C6195">
        <w:t>sawlogs</w:t>
      </w:r>
      <w:proofErr w:type="spellEnd"/>
      <w:r w:rsidR="006C6195">
        <w:t xml:space="preserve"> and energy logs), b) lop and scattered additions to down dead wood that will slowly decompose, and/or c) </w:t>
      </w:r>
      <w:r w:rsidR="00892CB9">
        <w:t xml:space="preserve">emissions from on site </w:t>
      </w:r>
      <w:proofErr w:type="gramStart"/>
      <w:r w:rsidR="006C6195">
        <w:t>burns .</w:t>
      </w:r>
      <w:proofErr w:type="gramEnd"/>
    </w:p>
    <w:p w14:paraId="288CD606" w14:textId="6F421A6D" w:rsidR="006C6195" w:rsidRDefault="006C6195" w:rsidP="005B7079">
      <w:pPr>
        <w:pStyle w:val="ListParagraph"/>
        <w:numPr>
          <w:ilvl w:val="1"/>
          <w:numId w:val="3"/>
        </w:numPr>
      </w:pPr>
      <w:r>
        <w:t xml:space="preserve">Increase the vigor of the remaining trees as there will be less competition for a fixed amount of water, nutrients and sunlight available at the site. </w:t>
      </w:r>
    </w:p>
    <w:p w14:paraId="2A341955" w14:textId="0A67AA6B" w:rsidR="00C02715" w:rsidRDefault="00397EA9" w:rsidP="00C02715">
      <w:pPr>
        <w:pStyle w:val="ListParagraph"/>
        <w:numPr>
          <w:ilvl w:val="0"/>
          <w:numId w:val="3"/>
        </w:numPr>
      </w:pPr>
      <w:r>
        <w:t>Biomass utilization</w:t>
      </w:r>
      <w:r w:rsidR="00C02715">
        <w:t xml:space="preserve"> – Some fuels management projects will remove commercial sized </w:t>
      </w:r>
      <w:proofErr w:type="spellStart"/>
      <w:r w:rsidR="00C02715">
        <w:t>sawlogs</w:t>
      </w:r>
      <w:proofErr w:type="spellEnd"/>
      <w:r w:rsidR="00C02715">
        <w:t xml:space="preserve"> that can be used to make building products with some of the material that does not go into building products being used for bioenergy. Smaller diameter trees and branches can be chipped and sent to </w:t>
      </w:r>
      <w:r w:rsidR="00C02715">
        <w:lastRenderedPageBreak/>
        <w:t>bioenergy plants as long as the plants receive a sufficient CPUC regulated rate</w:t>
      </w:r>
      <w:r w:rsidR="00D764C5">
        <w:t>s</w:t>
      </w:r>
      <w:r w:rsidR="00C02715">
        <w:t xml:space="preserve"> for wholesale power to justify the purchase of biomass feedstocks. When harvested products can not be marketed they are left on site as a temporary source of carbon sequestration or are burned. Each use has a different carbon sequestration profile over its lifetime.  </w:t>
      </w:r>
    </w:p>
    <w:p w14:paraId="63AA0A9F" w14:textId="5BA9CABE" w:rsidR="00C02715" w:rsidRDefault="00C02715" w:rsidP="00C02715">
      <w:pPr>
        <w:pStyle w:val="ListParagraph"/>
        <w:numPr>
          <w:ilvl w:val="0"/>
          <w:numId w:val="3"/>
        </w:numPr>
      </w:pPr>
      <w:r>
        <w:t xml:space="preserve">A range of fuel treatment effectiveness can be simply represented with an ‘effective treatment’ that achieves some reduction in future wildfire severity and carbon loss and a ‘very effective treatment’ scenario that is assumed to achieve even greater reductions in future wildfire severity and carbon loss. The actual effectiveness of treatments </w:t>
      </w:r>
      <w:r w:rsidR="00A158A8">
        <w:t xml:space="preserve">can be summarized from the literature and would benefit from validation from </w:t>
      </w:r>
      <w:r>
        <w:t>well measured experiments under a range of conditions.</w:t>
      </w:r>
    </w:p>
    <w:p w14:paraId="50DC2A51" w14:textId="4D4A6970" w:rsidR="006C6195" w:rsidRDefault="00D764C5" w:rsidP="005B7079">
      <w:pPr>
        <w:pStyle w:val="ListParagraph"/>
        <w:numPr>
          <w:ilvl w:val="0"/>
          <w:numId w:val="3"/>
        </w:numPr>
      </w:pPr>
      <w:r>
        <w:t>Future wi</w:t>
      </w:r>
      <w:r w:rsidR="006C6195">
        <w:t xml:space="preserve">ldfires will be started by lightning strikes, vehicles, or other human causes and </w:t>
      </w:r>
      <w:r>
        <w:t xml:space="preserve">grow </w:t>
      </w:r>
      <w:r w:rsidR="006C6195">
        <w:t>based on fuels and weather conditions</w:t>
      </w:r>
      <w:r>
        <w:t xml:space="preserve"> as well as suppression actions</w:t>
      </w:r>
      <w:r w:rsidR="006C6195">
        <w:t xml:space="preserve">. Wildfire suppression resources will be allocated to most fires outside of Wilderness and designated reserve forest areas. </w:t>
      </w:r>
      <w:r w:rsidR="00CB149A">
        <w:t>While wildfire probabilities in forest types based on data from 1950 to 2000 were low (0.2%year)</w:t>
      </w:r>
      <w:r w:rsidR="00CB149A">
        <w:rPr>
          <w:rStyle w:val="FootnoteReference"/>
        </w:rPr>
        <w:footnoteReference w:id="3"/>
      </w:r>
      <w:r w:rsidR="00CB149A">
        <w:t xml:space="preserve">, a more recent analysis of wildfire occurrence in the Sierra </w:t>
      </w:r>
      <w:proofErr w:type="spellStart"/>
      <w:r w:rsidR="00CB149A">
        <w:t>ecosection</w:t>
      </w:r>
      <w:proofErr w:type="spellEnd"/>
      <w:r w:rsidR="00CB149A">
        <w:t xml:space="preserve"> from 1995-2004 at FIA plots estimated a wildfire probability of 0.90%/year</w:t>
      </w:r>
      <w:r w:rsidR="00CB149A">
        <w:rPr>
          <w:rStyle w:val="FootnoteReference"/>
        </w:rPr>
        <w:footnoteReference w:id="4"/>
      </w:r>
      <w:r w:rsidR="00CB149A">
        <w:t xml:space="preserve">.  For this scenario, we use a default wildfire probability of 1.0% per year for conifer forests in the Sierra Nevada. </w:t>
      </w:r>
    </w:p>
    <w:p w14:paraId="117B280A" w14:textId="06E6CF3D" w:rsidR="00572307" w:rsidRDefault="00572307" w:rsidP="005B7079">
      <w:pPr>
        <w:pStyle w:val="ListParagraph"/>
        <w:numPr>
          <w:ilvl w:val="0"/>
          <w:numId w:val="3"/>
        </w:numPr>
      </w:pPr>
      <w:r>
        <w:t xml:space="preserve">Wildfires burn with </w:t>
      </w:r>
      <w:r w:rsidR="00575134">
        <w:t xml:space="preserve">a range of overstory mortality </w:t>
      </w:r>
      <w:r>
        <w:t xml:space="preserve"> </w:t>
      </w:r>
      <w:r w:rsidR="00575134">
        <w:t>(</w:t>
      </w:r>
      <w:r>
        <w:t>severity</w:t>
      </w:r>
      <w:r w:rsidR="00575134">
        <w:t>)</w:t>
      </w:r>
      <w:r w:rsidR="005157A3">
        <w:t xml:space="preserve"> with most of the area burning at moderate or low severity. </w:t>
      </w:r>
      <w:r w:rsidR="002E2A6D">
        <w:t xml:space="preserve">Estimates </w:t>
      </w:r>
      <w:r w:rsidR="0008769B">
        <w:t xml:space="preserve">of carbon loss </w:t>
      </w:r>
      <w:r w:rsidR="00CC15D9">
        <w:t>as</w:t>
      </w:r>
      <w:r w:rsidR="0008769B">
        <w:t xml:space="preserve"> a function of fire severity </w:t>
      </w:r>
      <w:r w:rsidR="002E2A6D">
        <w:t>are based on recent fires in California</w:t>
      </w:r>
      <w:r w:rsidR="0008769B">
        <w:rPr>
          <w:rStyle w:val="FootnoteReference"/>
        </w:rPr>
        <w:footnoteReference w:id="5"/>
      </w:r>
      <w:r w:rsidR="00DC7434">
        <w:t xml:space="preserve">. </w:t>
      </w:r>
      <w:r w:rsidR="00DE0A53">
        <w:t>For simplicity, we model mortality and carbon loss as a being linearly related to severity (see table 5).</w:t>
      </w:r>
    </w:p>
    <w:p w14:paraId="34CA52F9" w14:textId="3ABBD46A" w:rsidR="00FF1313" w:rsidRDefault="000B648F" w:rsidP="00397EA9">
      <w:pPr>
        <w:pStyle w:val="ListParagraph"/>
        <w:numPr>
          <w:ilvl w:val="0"/>
          <w:numId w:val="3"/>
        </w:numPr>
      </w:pPr>
      <w:r>
        <w:t xml:space="preserve">Prescribed </w:t>
      </w:r>
      <w:r w:rsidR="00FF1313">
        <w:t>burns</w:t>
      </w:r>
      <w:r w:rsidR="009C248D">
        <w:t xml:space="preserve"> </w:t>
      </w:r>
      <w:r w:rsidR="00CB149A">
        <w:t xml:space="preserve">also release carbon </w:t>
      </w:r>
      <w:r w:rsidR="00DE0A53">
        <w:t>from the consumption of some of the carbon in</w:t>
      </w:r>
      <w:r w:rsidR="00CB149A">
        <w:t xml:space="preserve"> dead trees, down wood, forest floor and forest soil. </w:t>
      </w:r>
      <w:r w:rsidR="009C248D">
        <w:t xml:space="preserve"> </w:t>
      </w:r>
      <w:r w:rsidR="00CB149A">
        <w:t>For simplicity, we model the impact</w:t>
      </w:r>
      <w:r w:rsidR="00397EA9">
        <w:t xml:space="preserve"> of a prescribed fire</w:t>
      </w:r>
      <w:r w:rsidR="00CB149A">
        <w:t xml:space="preserve"> on the non-live tree carbon pools as being</w:t>
      </w:r>
      <w:r w:rsidR="009C248D">
        <w:t xml:space="preserve"> similar to</w:t>
      </w:r>
      <w:r w:rsidR="00397EA9">
        <w:t xml:space="preserve"> a</w:t>
      </w:r>
      <w:r w:rsidR="009C248D">
        <w:t xml:space="preserve"> low severity wildfire</w:t>
      </w:r>
      <w:r w:rsidR="00397EA9">
        <w:t xml:space="preserve"> that will consume</w:t>
      </w:r>
      <w:r w:rsidR="00CB149A">
        <w:t xml:space="preserve">. </w:t>
      </w:r>
    </w:p>
    <w:p w14:paraId="50DDE05D" w14:textId="77777777" w:rsidR="00036C2D" w:rsidRDefault="00036C2D"/>
    <w:p w14:paraId="4EB70B39" w14:textId="020DC509" w:rsidR="00FF7D74" w:rsidRPr="002E2A6D" w:rsidRDefault="00FF1313">
      <w:pPr>
        <w:rPr>
          <w:b/>
        </w:rPr>
      </w:pPr>
      <w:r w:rsidRPr="002E2A6D">
        <w:rPr>
          <w:b/>
        </w:rPr>
        <w:t xml:space="preserve">Example </w:t>
      </w:r>
      <w:r w:rsidR="005F1440">
        <w:rPr>
          <w:b/>
        </w:rPr>
        <w:t>for estimating no-treatment and fuels treatment scenarios for a</w:t>
      </w:r>
      <w:r w:rsidR="005F1440" w:rsidRPr="002E2A6D">
        <w:rPr>
          <w:b/>
        </w:rPr>
        <w:t xml:space="preserve"> </w:t>
      </w:r>
      <w:r w:rsidRPr="002E2A6D">
        <w:rPr>
          <w:b/>
        </w:rPr>
        <w:t xml:space="preserve">California Mixed Conifer </w:t>
      </w:r>
      <w:r w:rsidR="005F1440">
        <w:rPr>
          <w:b/>
        </w:rPr>
        <w:t xml:space="preserve">forest </w:t>
      </w:r>
      <w:r w:rsidR="00FF7D74" w:rsidRPr="002E2A6D">
        <w:rPr>
          <w:b/>
        </w:rPr>
        <w:t xml:space="preserve">over </w:t>
      </w:r>
      <w:r w:rsidR="002E2A6D">
        <w:rPr>
          <w:b/>
        </w:rPr>
        <w:t xml:space="preserve">a </w:t>
      </w:r>
      <w:r w:rsidR="00FF7D74" w:rsidRPr="002E2A6D">
        <w:rPr>
          <w:b/>
        </w:rPr>
        <w:t>40 year</w:t>
      </w:r>
      <w:r w:rsidR="00177ECF">
        <w:rPr>
          <w:b/>
        </w:rPr>
        <w:t xml:space="preserve"> project</w:t>
      </w:r>
      <w:r w:rsidR="00FF7D74" w:rsidRPr="002E2A6D">
        <w:rPr>
          <w:b/>
        </w:rPr>
        <w:t xml:space="preserve"> period</w:t>
      </w:r>
    </w:p>
    <w:p w14:paraId="2D273608" w14:textId="77777777" w:rsidR="000B648F" w:rsidRDefault="000B648F"/>
    <w:p w14:paraId="45EBD424" w14:textId="16250211" w:rsidR="00FF7D74" w:rsidRDefault="00FF1313" w:rsidP="00FF7D74">
      <w:r>
        <w:t xml:space="preserve">Carbon stocks at risk taken from COLE </w:t>
      </w:r>
      <w:r w:rsidR="00FF7D74">
        <w:t>report for California Mixed Conifer, private lands</w:t>
      </w:r>
      <w:r w:rsidR="000B648F">
        <w:t xml:space="preserve"> </w:t>
      </w:r>
      <w:r w:rsidR="0026138B">
        <w:t>a</w:t>
      </w:r>
      <w:r w:rsidR="00D22D39">
        <w:t>re shown in</w:t>
      </w:r>
      <w:r w:rsidR="0026138B">
        <w:t xml:space="preserve"> the screenshot of a COLE output shown in Table 1</w:t>
      </w:r>
      <w:r w:rsidR="00D22D39">
        <w:t xml:space="preserve">. </w:t>
      </w:r>
      <w:r w:rsidR="002C4B38">
        <w:t xml:space="preserve">This includes the live trees, dead standing trees, downed wood, duff and leaves on the forest floor, and the organic carbon in the upper section of the forest soil profile. </w:t>
      </w:r>
    </w:p>
    <w:p w14:paraId="6F4B2A93" w14:textId="77777777" w:rsidR="008E5137" w:rsidRDefault="008E5137" w:rsidP="00FF7D74"/>
    <w:p w14:paraId="73EBE091" w14:textId="77777777" w:rsidR="00397EA9" w:rsidRDefault="00397EA9" w:rsidP="00FF7D74"/>
    <w:p w14:paraId="68219E31" w14:textId="77777777" w:rsidR="00397EA9" w:rsidRDefault="00397EA9" w:rsidP="00397EA9">
      <w:pPr>
        <w:pStyle w:val="ListParagraph"/>
        <w:numPr>
          <w:ilvl w:val="0"/>
          <w:numId w:val="4"/>
        </w:numPr>
      </w:pPr>
      <w:r>
        <w:t>Table 1: Screenshot from COLE report for CMC-private lands used to estimate all forest carbon pools that could be totally or partially consumed by wildfire.</w:t>
      </w:r>
    </w:p>
    <w:p w14:paraId="6CBE9A43" w14:textId="77777777" w:rsidR="00397EA9" w:rsidRDefault="00397EA9" w:rsidP="00397EA9">
      <w:pPr>
        <w:pStyle w:val="ListParagraph"/>
      </w:pPr>
      <w:r>
        <w:rPr>
          <w:noProof/>
        </w:rPr>
        <w:drawing>
          <wp:inline distT="0" distB="0" distL="0" distR="0" wp14:anchorId="586A2AE3" wp14:editId="7BFC28C4">
            <wp:extent cx="5486400" cy="4445000"/>
            <wp:effectExtent l="0" t="0" r="0" b="0"/>
            <wp:docPr id="4" name="Picture 4" descr="Macintosh HD:Users:bills:Documents:C calculator article 2013:COLE-CMC-pvt_table3.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ls:Documents:C calculator article 2013:COLE-CMC-pvt_table3.tif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4445000"/>
                    </a:xfrm>
                    <a:prstGeom prst="rect">
                      <a:avLst/>
                    </a:prstGeom>
                    <a:noFill/>
                    <a:ln>
                      <a:noFill/>
                    </a:ln>
                  </pic:spPr>
                </pic:pic>
              </a:graphicData>
            </a:graphic>
          </wp:inline>
        </w:drawing>
      </w:r>
    </w:p>
    <w:p w14:paraId="3B13228F" w14:textId="6730DBB9" w:rsidR="00397EA9" w:rsidRDefault="00397EA9" w:rsidP="00397EA9">
      <w:r>
        <w:t xml:space="preserve">Source: GCOLE 2015 </w:t>
      </w:r>
      <w:hyperlink r:id="rId15" w:history="1">
        <w:r w:rsidRPr="006A5A4A">
          <w:rPr>
            <w:rStyle w:val="Hyperlink"/>
          </w:rPr>
          <w:t>http://www.ncasi2.org/GCOLE3/gcole.shtml</w:t>
        </w:r>
      </w:hyperlink>
      <w:r>
        <w:t xml:space="preserve"> . This example is for California Mixed Conifer forest type in private ownership</w:t>
      </w:r>
    </w:p>
    <w:p w14:paraId="27BB88AC" w14:textId="77777777" w:rsidR="008E5137" w:rsidRDefault="008E5137" w:rsidP="00397EA9"/>
    <w:p w14:paraId="6076F19F" w14:textId="059760E2" w:rsidR="008E5137" w:rsidRDefault="00924C04" w:rsidP="00397EA9">
      <w:r>
        <w:t xml:space="preserve">The use of </w:t>
      </w:r>
      <w:r w:rsidR="008E5137">
        <w:t>a 1.0%/</w:t>
      </w:r>
      <w:proofErr w:type="spellStart"/>
      <w:r w:rsidR="008E5137">
        <w:t>yr</w:t>
      </w:r>
      <w:proofErr w:type="spellEnd"/>
      <w:r w:rsidR="008E5137">
        <w:t xml:space="preserve"> wildfire probability based on Christensen (2008) as the reasonable estimate of fire probability for Sierra mixed conifer forests leads to a 40% project level probability of a wildfire during a 40 project period. We estimated that treatments will be effective for 20 years, so two fuels treatments over the 40 year project period are modeled.</w:t>
      </w:r>
    </w:p>
    <w:p w14:paraId="24CD166D" w14:textId="77777777" w:rsidR="008E5137" w:rsidRDefault="008E5137" w:rsidP="00397EA9"/>
    <w:p w14:paraId="03364ACA" w14:textId="77777777" w:rsidR="00FF7D74" w:rsidRDefault="00FF7D74" w:rsidP="009C248D"/>
    <w:p w14:paraId="6EE05A02" w14:textId="77777777" w:rsidR="004D0872" w:rsidRDefault="004D0872" w:rsidP="009C248D"/>
    <w:p w14:paraId="2FE9F38B" w14:textId="77777777" w:rsidR="004D0872" w:rsidRDefault="004D0872" w:rsidP="009C248D"/>
    <w:p w14:paraId="3D30D5DE" w14:textId="77777777" w:rsidR="004D0872" w:rsidRDefault="004D0872" w:rsidP="009C248D"/>
    <w:p w14:paraId="15896C3C" w14:textId="77777777" w:rsidR="004D0872" w:rsidRDefault="004D0872" w:rsidP="009C248D"/>
    <w:p w14:paraId="5409F151" w14:textId="77777777" w:rsidR="004D0872" w:rsidRDefault="004D0872" w:rsidP="009C248D"/>
    <w:p w14:paraId="1C7BA11F" w14:textId="77777777" w:rsidR="004D0872" w:rsidRDefault="004D0872" w:rsidP="009C248D"/>
    <w:p w14:paraId="4DE0DCEE" w14:textId="77777777" w:rsidR="004D0872" w:rsidRDefault="004D0872" w:rsidP="009C248D"/>
    <w:p w14:paraId="468878EB" w14:textId="77777777" w:rsidR="004D0872" w:rsidRDefault="004D0872" w:rsidP="009C248D"/>
    <w:p w14:paraId="7C939CC5" w14:textId="77777777" w:rsidR="004D0872" w:rsidRDefault="004D0872" w:rsidP="009C248D"/>
    <w:p w14:paraId="61A56561" w14:textId="029921BE" w:rsidR="000B648F" w:rsidRDefault="000B648F" w:rsidP="009C248D">
      <w:r>
        <w:lastRenderedPageBreak/>
        <w:t xml:space="preserve">Table 2: Model assumptions </w:t>
      </w:r>
      <w:r w:rsidR="00116A72">
        <w:t>of expected wildfire probability and average carbon inventories of treated and untreated forest stands</w:t>
      </w:r>
    </w:p>
    <w:p w14:paraId="205AA5B0" w14:textId="77777777" w:rsidR="00913F78" w:rsidRDefault="00913F78" w:rsidP="00913F78"/>
    <w:tbl>
      <w:tblPr>
        <w:tblW w:w="8980" w:type="dxa"/>
        <w:tblInd w:w="98" w:type="dxa"/>
        <w:tblLook w:val="04A0" w:firstRow="1" w:lastRow="0" w:firstColumn="1" w:lastColumn="0" w:noHBand="0" w:noVBand="1"/>
      </w:tblPr>
      <w:tblGrid>
        <w:gridCol w:w="2408"/>
        <w:gridCol w:w="1188"/>
        <w:gridCol w:w="1068"/>
        <w:gridCol w:w="1088"/>
        <w:gridCol w:w="1028"/>
        <w:gridCol w:w="1135"/>
        <w:gridCol w:w="1065"/>
      </w:tblGrid>
      <w:tr w:rsidR="00913F78" w:rsidRPr="00223516" w14:paraId="79B728B9" w14:textId="77777777" w:rsidTr="007C03C7">
        <w:trPr>
          <w:trHeight w:val="300"/>
        </w:trPr>
        <w:tc>
          <w:tcPr>
            <w:tcW w:w="2408" w:type="dxa"/>
            <w:tcBorders>
              <w:top w:val="single" w:sz="8" w:space="0" w:color="auto"/>
              <w:left w:val="single" w:sz="8" w:space="0" w:color="auto"/>
              <w:bottom w:val="nil"/>
              <w:right w:val="nil"/>
            </w:tcBorders>
            <w:shd w:val="clear" w:color="000000" w:fill="CCFFCC"/>
            <w:noWrap/>
            <w:vAlign w:val="bottom"/>
            <w:hideMark/>
          </w:tcPr>
          <w:p w14:paraId="5093146E" w14:textId="77777777" w:rsidR="00913F78" w:rsidRPr="00223516" w:rsidRDefault="00913F78" w:rsidP="00913F78">
            <w:pPr>
              <w:rPr>
                <w:rFonts w:ascii="Calibri" w:eastAsia="Times New Roman" w:hAnsi="Calibri" w:cs="Times New Roman"/>
                <w:color w:val="006100"/>
                <w:sz w:val="20"/>
                <w:szCs w:val="20"/>
              </w:rPr>
            </w:pPr>
            <w:r w:rsidRPr="00223516">
              <w:rPr>
                <w:rFonts w:ascii="Calibri" w:eastAsia="Times New Roman" w:hAnsi="Calibri" w:cs="Times New Roman"/>
                <w:color w:val="006100"/>
                <w:sz w:val="20"/>
                <w:szCs w:val="20"/>
              </w:rPr>
              <w:t>Annual fire probability</w:t>
            </w:r>
          </w:p>
        </w:tc>
        <w:tc>
          <w:tcPr>
            <w:tcW w:w="1188" w:type="dxa"/>
            <w:tcBorders>
              <w:top w:val="single" w:sz="8" w:space="0" w:color="auto"/>
              <w:left w:val="nil"/>
              <w:bottom w:val="nil"/>
              <w:right w:val="nil"/>
            </w:tcBorders>
            <w:shd w:val="clear" w:color="000000" w:fill="CCFFCC"/>
            <w:noWrap/>
            <w:vAlign w:val="bottom"/>
            <w:hideMark/>
          </w:tcPr>
          <w:p w14:paraId="3583AB85" w14:textId="77777777" w:rsidR="00913F78" w:rsidRPr="00223516" w:rsidRDefault="00913F78" w:rsidP="00913F78">
            <w:pPr>
              <w:rPr>
                <w:rFonts w:ascii="Calibri" w:eastAsia="Times New Roman" w:hAnsi="Calibri" w:cs="Times New Roman"/>
                <w:color w:val="006100"/>
                <w:sz w:val="20"/>
                <w:szCs w:val="20"/>
              </w:rPr>
            </w:pPr>
            <w:r w:rsidRPr="00223516">
              <w:rPr>
                <w:rFonts w:ascii="Calibri" w:eastAsia="Times New Roman" w:hAnsi="Calibri" w:cs="Times New Roman"/>
                <w:color w:val="006100"/>
                <w:sz w:val="20"/>
                <w:szCs w:val="20"/>
              </w:rPr>
              <w:t> </w:t>
            </w:r>
          </w:p>
        </w:tc>
        <w:tc>
          <w:tcPr>
            <w:tcW w:w="1068" w:type="dxa"/>
            <w:tcBorders>
              <w:top w:val="single" w:sz="8" w:space="0" w:color="auto"/>
              <w:left w:val="nil"/>
              <w:bottom w:val="nil"/>
              <w:right w:val="nil"/>
            </w:tcBorders>
            <w:shd w:val="clear" w:color="000000" w:fill="CCFFCC"/>
            <w:noWrap/>
            <w:vAlign w:val="bottom"/>
            <w:hideMark/>
          </w:tcPr>
          <w:p w14:paraId="1757F086" w14:textId="77777777" w:rsidR="00913F78" w:rsidRPr="00223516" w:rsidRDefault="00913F78" w:rsidP="00913F78">
            <w:pPr>
              <w:jc w:val="right"/>
              <w:rPr>
                <w:rFonts w:ascii="Calibri" w:eastAsia="Times New Roman" w:hAnsi="Calibri" w:cs="Times New Roman"/>
                <w:color w:val="006100"/>
                <w:sz w:val="20"/>
                <w:szCs w:val="20"/>
              </w:rPr>
            </w:pPr>
            <w:r w:rsidRPr="00223516">
              <w:rPr>
                <w:rFonts w:ascii="Calibri" w:eastAsia="Times New Roman" w:hAnsi="Calibri" w:cs="Times New Roman"/>
                <w:color w:val="006100"/>
                <w:sz w:val="20"/>
                <w:szCs w:val="20"/>
              </w:rPr>
              <w:t>1.0%</w:t>
            </w:r>
          </w:p>
        </w:tc>
        <w:tc>
          <w:tcPr>
            <w:tcW w:w="1088" w:type="dxa"/>
            <w:tcBorders>
              <w:top w:val="single" w:sz="8" w:space="0" w:color="auto"/>
              <w:left w:val="nil"/>
              <w:bottom w:val="nil"/>
              <w:right w:val="nil"/>
            </w:tcBorders>
            <w:shd w:val="clear" w:color="000000" w:fill="CCFFCC"/>
            <w:noWrap/>
            <w:vAlign w:val="bottom"/>
            <w:hideMark/>
          </w:tcPr>
          <w:p w14:paraId="23B30B0A" w14:textId="77777777" w:rsidR="00913F78" w:rsidRPr="00223516" w:rsidRDefault="00913F78" w:rsidP="00913F78">
            <w:pPr>
              <w:rPr>
                <w:rFonts w:ascii="Calibri" w:eastAsia="Times New Roman" w:hAnsi="Calibri" w:cs="Times New Roman"/>
                <w:color w:val="006100"/>
                <w:sz w:val="20"/>
                <w:szCs w:val="20"/>
              </w:rPr>
            </w:pPr>
            <w:r w:rsidRPr="00223516">
              <w:rPr>
                <w:rFonts w:ascii="Calibri" w:eastAsia="Times New Roman" w:hAnsi="Calibri" w:cs="Times New Roman"/>
                <w:color w:val="006100"/>
                <w:sz w:val="20"/>
                <w:szCs w:val="20"/>
              </w:rPr>
              <w:t> </w:t>
            </w:r>
          </w:p>
        </w:tc>
        <w:tc>
          <w:tcPr>
            <w:tcW w:w="3228" w:type="dxa"/>
            <w:gridSpan w:val="3"/>
            <w:tcBorders>
              <w:top w:val="single" w:sz="8" w:space="0" w:color="auto"/>
              <w:left w:val="nil"/>
              <w:bottom w:val="nil"/>
              <w:right w:val="single" w:sz="8" w:space="0" w:color="000000"/>
            </w:tcBorders>
            <w:shd w:val="clear" w:color="000000" w:fill="CCFFCC"/>
            <w:noWrap/>
            <w:vAlign w:val="bottom"/>
            <w:hideMark/>
          </w:tcPr>
          <w:p w14:paraId="26BB479D" w14:textId="77777777" w:rsidR="00913F78" w:rsidRPr="00223516" w:rsidRDefault="00913F78" w:rsidP="00913F78">
            <w:pPr>
              <w:rPr>
                <w:rFonts w:ascii="Calibri" w:eastAsia="Times New Roman" w:hAnsi="Calibri" w:cs="Times New Roman"/>
                <w:color w:val="000000"/>
                <w:sz w:val="20"/>
                <w:szCs w:val="20"/>
              </w:rPr>
            </w:pPr>
            <w:r w:rsidRPr="00223516">
              <w:rPr>
                <w:rFonts w:ascii="Calibri" w:eastAsia="Times New Roman" w:hAnsi="Calibri" w:cs="Times New Roman"/>
                <w:color w:val="000000"/>
                <w:sz w:val="20"/>
                <w:szCs w:val="20"/>
              </w:rPr>
              <w:t>Based on FIA (Christensen et al 2008)</w:t>
            </w:r>
          </w:p>
        </w:tc>
      </w:tr>
      <w:tr w:rsidR="00913F78" w:rsidRPr="00223516" w14:paraId="5BC6EF12" w14:textId="77777777" w:rsidTr="007C03C7">
        <w:trPr>
          <w:trHeight w:val="300"/>
        </w:trPr>
        <w:tc>
          <w:tcPr>
            <w:tcW w:w="2408" w:type="dxa"/>
            <w:tcBorders>
              <w:top w:val="nil"/>
              <w:left w:val="single" w:sz="8" w:space="0" w:color="auto"/>
              <w:bottom w:val="nil"/>
              <w:right w:val="nil"/>
            </w:tcBorders>
            <w:shd w:val="clear" w:color="000000" w:fill="CCFFCC"/>
            <w:noWrap/>
            <w:vAlign w:val="bottom"/>
            <w:hideMark/>
          </w:tcPr>
          <w:p w14:paraId="02A2477C" w14:textId="77777777" w:rsidR="00913F78" w:rsidRPr="00223516" w:rsidRDefault="00913F78" w:rsidP="00913F78">
            <w:pPr>
              <w:rPr>
                <w:rFonts w:ascii="Calibri" w:eastAsia="Times New Roman" w:hAnsi="Calibri" w:cs="Times New Roman"/>
                <w:color w:val="006100"/>
                <w:sz w:val="20"/>
                <w:szCs w:val="20"/>
              </w:rPr>
            </w:pPr>
            <w:r w:rsidRPr="00223516">
              <w:rPr>
                <w:rFonts w:ascii="Calibri" w:eastAsia="Times New Roman" w:hAnsi="Calibri" w:cs="Times New Roman"/>
                <w:color w:val="006100"/>
                <w:sz w:val="20"/>
                <w:szCs w:val="20"/>
              </w:rPr>
              <w:t>Analysis window</w:t>
            </w:r>
          </w:p>
        </w:tc>
        <w:tc>
          <w:tcPr>
            <w:tcW w:w="1188" w:type="dxa"/>
            <w:tcBorders>
              <w:top w:val="nil"/>
              <w:left w:val="nil"/>
              <w:bottom w:val="nil"/>
              <w:right w:val="nil"/>
            </w:tcBorders>
            <w:shd w:val="clear" w:color="000000" w:fill="CCFFCC"/>
            <w:noWrap/>
            <w:vAlign w:val="bottom"/>
            <w:hideMark/>
          </w:tcPr>
          <w:p w14:paraId="269D0058" w14:textId="77777777" w:rsidR="00913F78" w:rsidRPr="00223516" w:rsidRDefault="00913F78" w:rsidP="00913F78">
            <w:pPr>
              <w:rPr>
                <w:rFonts w:ascii="Calibri" w:eastAsia="Times New Roman" w:hAnsi="Calibri" w:cs="Times New Roman"/>
                <w:color w:val="006100"/>
                <w:sz w:val="20"/>
                <w:szCs w:val="20"/>
              </w:rPr>
            </w:pPr>
            <w:r w:rsidRPr="00223516">
              <w:rPr>
                <w:rFonts w:ascii="Calibri" w:eastAsia="Times New Roman" w:hAnsi="Calibri" w:cs="Times New Roman"/>
                <w:color w:val="006100"/>
                <w:sz w:val="20"/>
                <w:szCs w:val="20"/>
              </w:rPr>
              <w:t> </w:t>
            </w:r>
          </w:p>
        </w:tc>
        <w:tc>
          <w:tcPr>
            <w:tcW w:w="1068" w:type="dxa"/>
            <w:tcBorders>
              <w:top w:val="nil"/>
              <w:left w:val="nil"/>
              <w:bottom w:val="nil"/>
              <w:right w:val="nil"/>
            </w:tcBorders>
            <w:shd w:val="clear" w:color="000000" w:fill="CCFFCC"/>
            <w:noWrap/>
            <w:vAlign w:val="bottom"/>
            <w:hideMark/>
          </w:tcPr>
          <w:p w14:paraId="7022EE75" w14:textId="77777777" w:rsidR="00913F78" w:rsidRPr="00223516" w:rsidRDefault="00913F78" w:rsidP="00913F78">
            <w:pPr>
              <w:jc w:val="right"/>
              <w:rPr>
                <w:rFonts w:ascii="Calibri" w:eastAsia="Times New Roman" w:hAnsi="Calibri" w:cs="Times New Roman"/>
                <w:color w:val="006100"/>
                <w:sz w:val="20"/>
                <w:szCs w:val="20"/>
              </w:rPr>
            </w:pPr>
            <w:r w:rsidRPr="00223516">
              <w:rPr>
                <w:rFonts w:ascii="Calibri" w:eastAsia="Times New Roman" w:hAnsi="Calibri" w:cs="Times New Roman"/>
                <w:color w:val="006100"/>
                <w:sz w:val="20"/>
                <w:szCs w:val="20"/>
              </w:rPr>
              <w:t>40</w:t>
            </w:r>
          </w:p>
        </w:tc>
        <w:tc>
          <w:tcPr>
            <w:tcW w:w="1088" w:type="dxa"/>
            <w:tcBorders>
              <w:top w:val="nil"/>
              <w:left w:val="nil"/>
              <w:bottom w:val="nil"/>
              <w:right w:val="nil"/>
            </w:tcBorders>
            <w:shd w:val="clear" w:color="000000" w:fill="CCFFCC"/>
            <w:noWrap/>
            <w:vAlign w:val="bottom"/>
            <w:hideMark/>
          </w:tcPr>
          <w:p w14:paraId="07230215" w14:textId="77777777" w:rsidR="00913F78" w:rsidRPr="00223516" w:rsidRDefault="00913F78" w:rsidP="00913F78">
            <w:pPr>
              <w:rPr>
                <w:rFonts w:ascii="Calibri" w:eastAsia="Times New Roman" w:hAnsi="Calibri" w:cs="Times New Roman"/>
                <w:color w:val="006100"/>
                <w:sz w:val="20"/>
                <w:szCs w:val="20"/>
              </w:rPr>
            </w:pPr>
            <w:r w:rsidRPr="00223516">
              <w:rPr>
                <w:rFonts w:ascii="Calibri" w:eastAsia="Times New Roman" w:hAnsi="Calibri" w:cs="Times New Roman"/>
                <w:color w:val="006100"/>
                <w:sz w:val="20"/>
                <w:szCs w:val="20"/>
              </w:rPr>
              <w:t>years</w:t>
            </w:r>
          </w:p>
        </w:tc>
        <w:tc>
          <w:tcPr>
            <w:tcW w:w="1028" w:type="dxa"/>
            <w:tcBorders>
              <w:top w:val="nil"/>
              <w:left w:val="nil"/>
              <w:bottom w:val="nil"/>
              <w:right w:val="nil"/>
            </w:tcBorders>
            <w:shd w:val="clear" w:color="000000" w:fill="CCFFCC"/>
            <w:noWrap/>
            <w:vAlign w:val="bottom"/>
            <w:hideMark/>
          </w:tcPr>
          <w:p w14:paraId="6513919B" w14:textId="77777777" w:rsidR="00913F78" w:rsidRPr="00223516" w:rsidRDefault="00913F78" w:rsidP="00913F78">
            <w:pPr>
              <w:rPr>
                <w:rFonts w:ascii="Calibri" w:eastAsia="Times New Roman" w:hAnsi="Calibri" w:cs="Times New Roman"/>
                <w:color w:val="006100"/>
                <w:sz w:val="20"/>
                <w:szCs w:val="20"/>
              </w:rPr>
            </w:pPr>
            <w:r w:rsidRPr="00223516">
              <w:rPr>
                <w:rFonts w:ascii="Calibri" w:eastAsia="Times New Roman" w:hAnsi="Calibri" w:cs="Times New Roman"/>
                <w:color w:val="006100"/>
                <w:sz w:val="20"/>
                <w:szCs w:val="20"/>
              </w:rPr>
              <w:t> </w:t>
            </w:r>
          </w:p>
        </w:tc>
        <w:tc>
          <w:tcPr>
            <w:tcW w:w="1135" w:type="dxa"/>
            <w:tcBorders>
              <w:top w:val="nil"/>
              <w:left w:val="nil"/>
              <w:bottom w:val="nil"/>
              <w:right w:val="nil"/>
            </w:tcBorders>
            <w:shd w:val="clear" w:color="000000" w:fill="CCFFCC"/>
            <w:noWrap/>
            <w:vAlign w:val="bottom"/>
            <w:hideMark/>
          </w:tcPr>
          <w:p w14:paraId="3AC5C711" w14:textId="77777777" w:rsidR="00913F78" w:rsidRPr="00223516" w:rsidRDefault="00913F78" w:rsidP="00913F78">
            <w:pPr>
              <w:rPr>
                <w:rFonts w:ascii="Calibri" w:eastAsia="Times New Roman" w:hAnsi="Calibri" w:cs="Times New Roman"/>
                <w:color w:val="006100"/>
                <w:sz w:val="20"/>
                <w:szCs w:val="20"/>
              </w:rPr>
            </w:pPr>
            <w:r w:rsidRPr="00223516">
              <w:rPr>
                <w:rFonts w:ascii="Calibri" w:eastAsia="Times New Roman" w:hAnsi="Calibri" w:cs="Times New Roman"/>
                <w:color w:val="006100"/>
                <w:sz w:val="20"/>
                <w:szCs w:val="20"/>
              </w:rPr>
              <w:t> </w:t>
            </w:r>
          </w:p>
        </w:tc>
        <w:tc>
          <w:tcPr>
            <w:tcW w:w="1065" w:type="dxa"/>
            <w:tcBorders>
              <w:top w:val="nil"/>
              <w:left w:val="nil"/>
              <w:bottom w:val="nil"/>
              <w:right w:val="single" w:sz="8" w:space="0" w:color="auto"/>
            </w:tcBorders>
            <w:shd w:val="clear" w:color="000000" w:fill="CCFFCC"/>
            <w:noWrap/>
            <w:vAlign w:val="bottom"/>
            <w:hideMark/>
          </w:tcPr>
          <w:p w14:paraId="5072B642" w14:textId="77777777" w:rsidR="00913F78" w:rsidRPr="00223516" w:rsidRDefault="00913F78" w:rsidP="00913F78">
            <w:pPr>
              <w:rPr>
                <w:rFonts w:ascii="Calibri" w:eastAsia="Times New Roman" w:hAnsi="Calibri" w:cs="Times New Roman"/>
                <w:color w:val="000000"/>
                <w:sz w:val="20"/>
                <w:szCs w:val="20"/>
              </w:rPr>
            </w:pPr>
            <w:r w:rsidRPr="00223516">
              <w:rPr>
                <w:rFonts w:ascii="Calibri" w:eastAsia="Times New Roman" w:hAnsi="Calibri" w:cs="Times New Roman"/>
                <w:color w:val="000000"/>
                <w:sz w:val="20"/>
                <w:szCs w:val="20"/>
              </w:rPr>
              <w:t> </w:t>
            </w:r>
          </w:p>
        </w:tc>
      </w:tr>
      <w:tr w:rsidR="00913F78" w:rsidRPr="00223516" w14:paraId="6229D019" w14:textId="77777777" w:rsidTr="007C03C7">
        <w:trPr>
          <w:trHeight w:val="300"/>
        </w:trPr>
        <w:tc>
          <w:tcPr>
            <w:tcW w:w="3596" w:type="dxa"/>
            <w:gridSpan w:val="2"/>
            <w:tcBorders>
              <w:top w:val="nil"/>
              <w:left w:val="single" w:sz="8" w:space="0" w:color="auto"/>
              <w:bottom w:val="nil"/>
              <w:right w:val="nil"/>
            </w:tcBorders>
            <w:shd w:val="clear" w:color="000000" w:fill="CCFFCC"/>
            <w:noWrap/>
            <w:vAlign w:val="bottom"/>
            <w:hideMark/>
          </w:tcPr>
          <w:p w14:paraId="79CE715C" w14:textId="77777777" w:rsidR="00913F78" w:rsidRPr="00223516" w:rsidRDefault="00913F78" w:rsidP="00913F78">
            <w:pPr>
              <w:rPr>
                <w:rFonts w:ascii="Calibri" w:eastAsia="Times New Roman" w:hAnsi="Calibri" w:cs="Times New Roman"/>
                <w:color w:val="006100"/>
                <w:sz w:val="20"/>
                <w:szCs w:val="20"/>
              </w:rPr>
            </w:pPr>
            <w:r w:rsidRPr="00223516">
              <w:rPr>
                <w:rFonts w:ascii="Calibri" w:eastAsia="Times New Roman" w:hAnsi="Calibri" w:cs="Times New Roman"/>
                <w:color w:val="006100"/>
                <w:sz w:val="20"/>
                <w:szCs w:val="20"/>
              </w:rPr>
              <w:t>Treatment effectiveness period (in years)</w:t>
            </w:r>
          </w:p>
        </w:tc>
        <w:tc>
          <w:tcPr>
            <w:tcW w:w="1068" w:type="dxa"/>
            <w:tcBorders>
              <w:top w:val="nil"/>
              <w:left w:val="nil"/>
              <w:bottom w:val="nil"/>
              <w:right w:val="nil"/>
            </w:tcBorders>
            <w:shd w:val="clear" w:color="000000" w:fill="CCFFCC"/>
            <w:noWrap/>
            <w:vAlign w:val="bottom"/>
            <w:hideMark/>
          </w:tcPr>
          <w:p w14:paraId="7FDFBEDE" w14:textId="77777777" w:rsidR="00913F78" w:rsidRPr="00223516" w:rsidRDefault="00913F78" w:rsidP="00913F78">
            <w:pPr>
              <w:jc w:val="right"/>
              <w:rPr>
                <w:rFonts w:ascii="Calibri" w:eastAsia="Times New Roman" w:hAnsi="Calibri" w:cs="Times New Roman"/>
                <w:color w:val="006100"/>
                <w:sz w:val="20"/>
                <w:szCs w:val="20"/>
              </w:rPr>
            </w:pPr>
            <w:r w:rsidRPr="00223516">
              <w:rPr>
                <w:rFonts w:ascii="Calibri" w:eastAsia="Times New Roman" w:hAnsi="Calibri" w:cs="Times New Roman"/>
                <w:color w:val="006100"/>
                <w:sz w:val="20"/>
                <w:szCs w:val="20"/>
              </w:rPr>
              <w:t>20</w:t>
            </w:r>
          </w:p>
        </w:tc>
        <w:tc>
          <w:tcPr>
            <w:tcW w:w="1088" w:type="dxa"/>
            <w:tcBorders>
              <w:top w:val="nil"/>
              <w:left w:val="nil"/>
              <w:bottom w:val="nil"/>
              <w:right w:val="nil"/>
            </w:tcBorders>
            <w:shd w:val="clear" w:color="000000" w:fill="CCFFCC"/>
            <w:noWrap/>
            <w:vAlign w:val="bottom"/>
            <w:hideMark/>
          </w:tcPr>
          <w:p w14:paraId="45AA52F1" w14:textId="77777777" w:rsidR="00913F78" w:rsidRPr="00223516" w:rsidRDefault="00913F78" w:rsidP="00913F78">
            <w:pPr>
              <w:rPr>
                <w:rFonts w:ascii="Calibri" w:eastAsia="Times New Roman" w:hAnsi="Calibri" w:cs="Times New Roman"/>
                <w:color w:val="006100"/>
                <w:sz w:val="20"/>
                <w:szCs w:val="20"/>
              </w:rPr>
            </w:pPr>
            <w:r w:rsidRPr="00223516">
              <w:rPr>
                <w:rFonts w:ascii="Calibri" w:eastAsia="Times New Roman" w:hAnsi="Calibri" w:cs="Times New Roman"/>
                <w:color w:val="006100"/>
                <w:sz w:val="20"/>
                <w:szCs w:val="20"/>
              </w:rPr>
              <w:t>years</w:t>
            </w:r>
          </w:p>
        </w:tc>
        <w:tc>
          <w:tcPr>
            <w:tcW w:w="3228" w:type="dxa"/>
            <w:gridSpan w:val="3"/>
            <w:tcBorders>
              <w:top w:val="nil"/>
              <w:left w:val="nil"/>
              <w:bottom w:val="nil"/>
              <w:right w:val="single" w:sz="8" w:space="0" w:color="000000"/>
            </w:tcBorders>
            <w:shd w:val="clear" w:color="000000" w:fill="CCFFCC"/>
            <w:noWrap/>
            <w:vAlign w:val="bottom"/>
            <w:hideMark/>
          </w:tcPr>
          <w:p w14:paraId="323CD0FA" w14:textId="77777777" w:rsidR="00913F78" w:rsidRPr="00223516" w:rsidRDefault="00913F78" w:rsidP="00913F78">
            <w:pPr>
              <w:rPr>
                <w:rFonts w:ascii="Calibri" w:eastAsia="Times New Roman" w:hAnsi="Calibri" w:cs="Times New Roman"/>
                <w:color w:val="000000"/>
                <w:sz w:val="20"/>
                <w:szCs w:val="20"/>
              </w:rPr>
            </w:pPr>
            <w:r w:rsidRPr="00223516">
              <w:rPr>
                <w:rFonts w:ascii="Calibri" w:eastAsia="Times New Roman" w:hAnsi="Calibri" w:cs="Times New Roman"/>
                <w:color w:val="000000"/>
                <w:sz w:val="20"/>
                <w:szCs w:val="20"/>
              </w:rPr>
              <w:t>Based on vegetative regrowth</w:t>
            </w:r>
          </w:p>
        </w:tc>
      </w:tr>
      <w:tr w:rsidR="00913F78" w:rsidRPr="00223516" w14:paraId="6CAB7A43" w14:textId="77777777" w:rsidTr="007C03C7">
        <w:trPr>
          <w:trHeight w:val="300"/>
        </w:trPr>
        <w:tc>
          <w:tcPr>
            <w:tcW w:w="3596" w:type="dxa"/>
            <w:gridSpan w:val="2"/>
            <w:tcBorders>
              <w:top w:val="nil"/>
              <w:left w:val="single" w:sz="8" w:space="0" w:color="auto"/>
              <w:bottom w:val="nil"/>
              <w:right w:val="nil"/>
            </w:tcBorders>
            <w:shd w:val="clear" w:color="000000" w:fill="CCFFCC"/>
            <w:noWrap/>
            <w:vAlign w:val="bottom"/>
            <w:hideMark/>
          </w:tcPr>
          <w:p w14:paraId="792141A5" w14:textId="77777777" w:rsidR="00913F78" w:rsidRPr="00223516" w:rsidRDefault="00913F78" w:rsidP="00913F78">
            <w:pPr>
              <w:rPr>
                <w:rFonts w:ascii="Calibri" w:eastAsia="Times New Roman" w:hAnsi="Calibri" w:cs="Times New Roman"/>
                <w:color w:val="006100"/>
                <w:sz w:val="20"/>
                <w:szCs w:val="20"/>
              </w:rPr>
            </w:pPr>
            <w:r w:rsidRPr="00223516">
              <w:rPr>
                <w:rFonts w:ascii="Calibri" w:eastAsia="Times New Roman" w:hAnsi="Calibri" w:cs="Times New Roman"/>
                <w:color w:val="006100"/>
                <w:sz w:val="20"/>
                <w:szCs w:val="20"/>
              </w:rPr>
              <w:t>Number of fuels/forest health treatments</w:t>
            </w:r>
          </w:p>
        </w:tc>
        <w:tc>
          <w:tcPr>
            <w:tcW w:w="1068" w:type="dxa"/>
            <w:tcBorders>
              <w:top w:val="nil"/>
              <w:left w:val="nil"/>
              <w:bottom w:val="nil"/>
              <w:right w:val="nil"/>
            </w:tcBorders>
            <w:shd w:val="clear" w:color="000000" w:fill="CCFFCC"/>
            <w:noWrap/>
            <w:vAlign w:val="bottom"/>
            <w:hideMark/>
          </w:tcPr>
          <w:p w14:paraId="0BE04CBB" w14:textId="77777777" w:rsidR="00913F78" w:rsidRPr="00223516" w:rsidRDefault="00913F78" w:rsidP="00913F78">
            <w:pPr>
              <w:jc w:val="right"/>
              <w:rPr>
                <w:rFonts w:ascii="Calibri" w:eastAsia="Times New Roman" w:hAnsi="Calibri" w:cs="Times New Roman"/>
                <w:color w:val="006100"/>
                <w:sz w:val="20"/>
                <w:szCs w:val="20"/>
              </w:rPr>
            </w:pPr>
            <w:r w:rsidRPr="00223516">
              <w:rPr>
                <w:rFonts w:ascii="Calibri" w:eastAsia="Times New Roman" w:hAnsi="Calibri" w:cs="Times New Roman"/>
                <w:color w:val="006100"/>
                <w:sz w:val="20"/>
                <w:szCs w:val="20"/>
              </w:rPr>
              <w:t>2</w:t>
            </w:r>
          </w:p>
        </w:tc>
        <w:tc>
          <w:tcPr>
            <w:tcW w:w="1088" w:type="dxa"/>
            <w:tcBorders>
              <w:top w:val="nil"/>
              <w:left w:val="nil"/>
              <w:bottom w:val="nil"/>
              <w:right w:val="nil"/>
            </w:tcBorders>
            <w:shd w:val="clear" w:color="000000" w:fill="CCFFCC"/>
            <w:noWrap/>
            <w:vAlign w:val="bottom"/>
            <w:hideMark/>
          </w:tcPr>
          <w:p w14:paraId="36EC6A17" w14:textId="77777777" w:rsidR="00913F78" w:rsidRPr="00223516" w:rsidRDefault="00913F78" w:rsidP="00913F78">
            <w:pPr>
              <w:rPr>
                <w:rFonts w:ascii="Calibri" w:eastAsia="Times New Roman" w:hAnsi="Calibri" w:cs="Times New Roman"/>
                <w:color w:val="006100"/>
                <w:sz w:val="20"/>
                <w:szCs w:val="20"/>
              </w:rPr>
            </w:pPr>
            <w:r w:rsidRPr="00223516">
              <w:rPr>
                <w:rFonts w:ascii="Calibri" w:eastAsia="Times New Roman" w:hAnsi="Calibri" w:cs="Times New Roman"/>
                <w:color w:val="006100"/>
                <w:sz w:val="20"/>
                <w:szCs w:val="20"/>
              </w:rPr>
              <w:t> </w:t>
            </w:r>
          </w:p>
        </w:tc>
        <w:tc>
          <w:tcPr>
            <w:tcW w:w="1028" w:type="dxa"/>
            <w:tcBorders>
              <w:top w:val="nil"/>
              <w:left w:val="nil"/>
              <w:bottom w:val="nil"/>
              <w:right w:val="nil"/>
            </w:tcBorders>
            <w:shd w:val="clear" w:color="000000" w:fill="CCFFCC"/>
            <w:noWrap/>
            <w:vAlign w:val="bottom"/>
            <w:hideMark/>
          </w:tcPr>
          <w:p w14:paraId="26AECB20" w14:textId="77777777" w:rsidR="00913F78" w:rsidRPr="00223516" w:rsidRDefault="00913F78" w:rsidP="00913F78">
            <w:pPr>
              <w:rPr>
                <w:rFonts w:ascii="Calibri" w:eastAsia="Times New Roman" w:hAnsi="Calibri" w:cs="Times New Roman"/>
                <w:color w:val="006100"/>
                <w:sz w:val="20"/>
                <w:szCs w:val="20"/>
              </w:rPr>
            </w:pPr>
            <w:r w:rsidRPr="00223516">
              <w:rPr>
                <w:rFonts w:ascii="Calibri" w:eastAsia="Times New Roman" w:hAnsi="Calibri" w:cs="Times New Roman"/>
                <w:color w:val="006100"/>
                <w:sz w:val="20"/>
                <w:szCs w:val="20"/>
              </w:rPr>
              <w:t> </w:t>
            </w:r>
          </w:p>
        </w:tc>
        <w:tc>
          <w:tcPr>
            <w:tcW w:w="1135" w:type="dxa"/>
            <w:tcBorders>
              <w:top w:val="nil"/>
              <w:left w:val="nil"/>
              <w:bottom w:val="nil"/>
              <w:right w:val="nil"/>
            </w:tcBorders>
            <w:shd w:val="clear" w:color="000000" w:fill="CCFFCC"/>
            <w:noWrap/>
            <w:vAlign w:val="bottom"/>
            <w:hideMark/>
          </w:tcPr>
          <w:p w14:paraId="1AB34B24" w14:textId="77777777" w:rsidR="00913F78" w:rsidRPr="00223516" w:rsidRDefault="00913F78" w:rsidP="00913F78">
            <w:pPr>
              <w:rPr>
                <w:rFonts w:ascii="Calibri" w:eastAsia="Times New Roman" w:hAnsi="Calibri" w:cs="Times New Roman"/>
                <w:color w:val="006100"/>
                <w:sz w:val="20"/>
                <w:szCs w:val="20"/>
              </w:rPr>
            </w:pPr>
            <w:r w:rsidRPr="00223516">
              <w:rPr>
                <w:rFonts w:ascii="Calibri" w:eastAsia="Times New Roman" w:hAnsi="Calibri" w:cs="Times New Roman"/>
                <w:color w:val="006100"/>
                <w:sz w:val="20"/>
                <w:szCs w:val="20"/>
              </w:rPr>
              <w:t> </w:t>
            </w:r>
          </w:p>
        </w:tc>
        <w:tc>
          <w:tcPr>
            <w:tcW w:w="1065" w:type="dxa"/>
            <w:tcBorders>
              <w:top w:val="nil"/>
              <w:left w:val="nil"/>
              <w:bottom w:val="nil"/>
              <w:right w:val="single" w:sz="8" w:space="0" w:color="auto"/>
            </w:tcBorders>
            <w:shd w:val="clear" w:color="000000" w:fill="CCFFCC"/>
            <w:noWrap/>
            <w:vAlign w:val="bottom"/>
            <w:hideMark/>
          </w:tcPr>
          <w:p w14:paraId="6B56669D" w14:textId="77777777" w:rsidR="00913F78" w:rsidRPr="00223516" w:rsidRDefault="00913F78" w:rsidP="00913F78">
            <w:pPr>
              <w:rPr>
                <w:rFonts w:ascii="Calibri" w:eastAsia="Times New Roman" w:hAnsi="Calibri" w:cs="Times New Roman"/>
                <w:color w:val="000000"/>
                <w:sz w:val="20"/>
                <w:szCs w:val="20"/>
              </w:rPr>
            </w:pPr>
            <w:r w:rsidRPr="00223516">
              <w:rPr>
                <w:rFonts w:ascii="Calibri" w:eastAsia="Times New Roman" w:hAnsi="Calibri" w:cs="Times New Roman"/>
                <w:color w:val="000000"/>
                <w:sz w:val="20"/>
                <w:szCs w:val="20"/>
              </w:rPr>
              <w:t> </w:t>
            </w:r>
          </w:p>
        </w:tc>
      </w:tr>
      <w:tr w:rsidR="00913F78" w:rsidRPr="00223516" w14:paraId="50011527" w14:textId="77777777" w:rsidTr="007C03C7">
        <w:trPr>
          <w:trHeight w:val="300"/>
        </w:trPr>
        <w:tc>
          <w:tcPr>
            <w:tcW w:w="3596" w:type="dxa"/>
            <w:gridSpan w:val="2"/>
            <w:tcBorders>
              <w:top w:val="nil"/>
              <w:left w:val="single" w:sz="8" w:space="0" w:color="auto"/>
              <w:bottom w:val="nil"/>
              <w:right w:val="nil"/>
            </w:tcBorders>
            <w:shd w:val="clear" w:color="000000" w:fill="CCFFCC"/>
            <w:noWrap/>
            <w:vAlign w:val="bottom"/>
            <w:hideMark/>
          </w:tcPr>
          <w:p w14:paraId="097E4578" w14:textId="77777777" w:rsidR="00913F78" w:rsidRPr="00223516" w:rsidRDefault="00913F78" w:rsidP="00913F78">
            <w:pPr>
              <w:rPr>
                <w:rFonts w:ascii="Calibri" w:eastAsia="Times New Roman" w:hAnsi="Calibri" w:cs="Times New Roman"/>
                <w:color w:val="006100"/>
                <w:sz w:val="20"/>
                <w:szCs w:val="20"/>
              </w:rPr>
            </w:pPr>
            <w:r w:rsidRPr="00223516">
              <w:rPr>
                <w:rFonts w:ascii="Calibri" w:eastAsia="Times New Roman" w:hAnsi="Calibri" w:cs="Times New Roman"/>
                <w:color w:val="006100"/>
                <w:sz w:val="20"/>
                <w:szCs w:val="20"/>
              </w:rPr>
              <w:t>Probability of fire during analysis period</w:t>
            </w:r>
          </w:p>
        </w:tc>
        <w:tc>
          <w:tcPr>
            <w:tcW w:w="1068" w:type="dxa"/>
            <w:tcBorders>
              <w:top w:val="nil"/>
              <w:left w:val="nil"/>
              <w:bottom w:val="nil"/>
              <w:right w:val="nil"/>
            </w:tcBorders>
            <w:shd w:val="clear" w:color="000000" w:fill="CCFFCC"/>
            <w:noWrap/>
            <w:vAlign w:val="bottom"/>
            <w:hideMark/>
          </w:tcPr>
          <w:p w14:paraId="4C3BBA13" w14:textId="77777777" w:rsidR="00913F78" w:rsidRPr="00223516" w:rsidRDefault="00913F78" w:rsidP="00913F78">
            <w:pPr>
              <w:jc w:val="right"/>
              <w:rPr>
                <w:rFonts w:ascii="Calibri" w:eastAsia="Times New Roman" w:hAnsi="Calibri" w:cs="Times New Roman"/>
                <w:color w:val="006100"/>
                <w:sz w:val="20"/>
                <w:szCs w:val="20"/>
              </w:rPr>
            </w:pPr>
            <w:r w:rsidRPr="00223516">
              <w:rPr>
                <w:rFonts w:ascii="Calibri" w:eastAsia="Times New Roman" w:hAnsi="Calibri" w:cs="Times New Roman"/>
                <w:color w:val="006100"/>
                <w:sz w:val="20"/>
                <w:szCs w:val="20"/>
              </w:rPr>
              <w:t>40%</w:t>
            </w:r>
          </w:p>
        </w:tc>
        <w:tc>
          <w:tcPr>
            <w:tcW w:w="1088" w:type="dxa"/>
            <w:tcBorders>
              <w:top w:val="nil"/>
              <w:left w:val="nil"/>
              <w:bottom w:val="nil"/>
              <w:right w:val="nil"/>
            </w:tcBorders>
            <w:shd w:val="clear" w:color="000000" w:fill="CCFFCC"/>
            <w:noWrap/>
            <w:vAlign w:val="bottom"/>
            <w:hideMark/>
          </w:tcPr>
          <w:p w14:paraId="2A5E4E8F" w14:textId="77777777" w:rsidR="00913F78" w:rsidRPr="00223516" w:rsidRDefault="00913F78" w:rsidP="00913F78">
            <w:pPr>
              <w:rPr>
                <w:rFonts w:ascii="Calibri" w:eastAsia="Times New Roman" w:hAnsi="Calibri" w:cs="Times New Roman"/>
                <w:color w:val="006100"/>
                <w:sz w:val="20"/>
                <w:szCs w:val="20"/>
              </w:rPr>
            </w:pPr>
            <w:r w:rsidRPr="00223516">
              <w:rPr>
                <w:rFonts w:ascii="Calibri" w:eastAsia="Times New Roman" w:hAnsi="Calibri" w:cs="Times New Roman"/>
                <w:color w:val="006100"/>
                <w:sz w:val="20"/>
                <w:szCs w:val="20"/>
              </w:rPr>
              <w:t>calculated</w:t>
            </w:r>
          </w:p>
        </w:tc>
        <w:tc>
          <w:tcPr>
            <w:tcW w:w="1028" w:type="dxa"/>
            <w:tcBorders>
              <w:top w:val="nil"/>
              <w:left w:val="nil"/>
              <w:bottom w:val="nil"/>
              <w:right w:val="nil"/>
            </w:tcBorders>
            <w:shd w:val="clear" w:color="000000" w:fill="CCFFCC"/>
            <w:noWrap/>
            <w:vAlign w:val="bottom"/>
            <w:hideMark/>
          </w:tcPr>
          <w:p w14:paraId="7EF88DC0" w14:textId="77777777" w:rsidR="00913F78" w:rsidRPr="00223516" w:rsidRDefault="00913F78" w:rsidP="00913F78">
            <w:pPr>
              <w:rPr>
                <w:rFonts w:ascii="Calibri" w:eastAsia="Times New Roman" w:hAnsi="Calibri" w:cs="Times New Roman"/>
                <w:color w:val="006100"/>
                <w:sz w:val="20"/>
                <w:szCs w:val="20"/>
              </w:rPr>
            </w:pPr>
            <w:r w:rsidRPr="00223516">
              <w:rPr>
                <w:rFonts w:ascii="Calibri" w:eastAsia="Times New Roman" w:hAnsi="Calibri" w:cs="Times New Roman"/>
                <w:color w:val="006100"/>
                <w:sz w:val="20"/>
                <w:szCs w:val="20"/>
              </w:rPr>
              <w:t> </w:t>
            </w:r>
          </w:p>
        </w:tc>
        <w:tc>
          <w:tcPr>
            <w:tcW w:w="1135" w:type="dxa"/>
            <w:tcBorders>
              <w:top w:val="nil"/>
              <w:left w:val="nil"/>
              <w:bottom w:val="nil"/>
              <w:right w:val="nil"/>
            </w:tcBorders>
            <w:shd w:val="clear" w:color="000000" w:fill="CCFFCC"/>
            <w:noWrap/>
            <w:vAlign w:val="bottom"/>
            <w:hideMark/>
          </w:tcPr>
          <w:p w14:paraId="2062FBBC" w14:textId="77777777" w:rsidR="00913F78" w:rsidRPr="00223516" w:rsidRDefault="00913F78" w:rsidP="00913F78">
            <w:pPr>
              <w:rPr>
                <w:rFonts w:ascii="Calibri" w:eastAsia="Times New Roman" w:hAnsi="Calibri" w:cs="Times New Roman"/>
                <w:color w:val="006100"/>
                <w:sz w:val="20"/>
                <w:szCs w:val="20"/>
              </w:rPr>
            </w:pPr>
            <w:r w:rsidRPr="00223516">
              <w:rPr>
                <w:rFonts w:ascii="Calibri" w:eastAsia="Times New Roman" w:hAnsi="Calibri" w:cs="Times New Roman"/>
                <w:color w:val="006100"/>
                <w:sz w:val="20"/>
                <w:szCs w:val="20"/>
              </w:rPr>
              <w:t> </w:t>
            </w:r>
          </w:p>
        </w:tc>
        <w:tc>
          <w:tcPr>
            <w:tcW w:w="1065" w:type="dxa"/>
            <w:tcBorders>
              <w:top w:val="nil"/>
              <w:left w:val="nil"/>
              <w:bottom w:val="nil"/>
              <w:right w:val="single" w:sz="8" w:space="0" w:color="auto"/>
            </w:tcBorders>
            <w:shd w:val="clear" w:color="000000" w:fill="CCFFCC"/>
            <w:noWrap/>
            <w:vAlign w:val="bottom"/>
            <w:hideMark/>
          </w:tcPr>
          <w:p w14:paraId="10600DE0" w14:textId="77777777" w:rsidR="00913F78" w:rsidRPr="00223516" w:rsidRDefault="00913F78" w:rsidP="00913F78">
            <w:pPr>
              <w:rPr>
                <w:rFonts w:ascii="Calibri" w:eastAsia="Times New Roman" w:hAnsi="Calibri" w:cs="Times New Roman"/>
                <w:color w:val="000000"/>
                <w:sz w:val="20"/>
                <w:szCs w:val="20"/>
              </w:rPr>
            </w:pPr>
            <w:r w:rsidRPr="00223516">
              <w:rPr>
                <w:rFonts w:ascii="Calibri" w:eastAsia="Times New Roman" w:hAnsi="Calibri" w:cs="Times New Roman"/>
                <w:color w:val="000000"/>
                <w:sz w:val="20"/>
                <w:szCs w:val="20"/>
              </w:rPr>
              <w:t> </w:t>
            </w:r>
          </w:p>
        </w:tc>
      </w:tr>
      <w:tr w:rsidR="00913F78" w:rsidRPr="00223516" w14:paraId="5EA32765" w14:textId="77777777" w:rsidTr="007C03C7">
        <w:trPr>
          <w:trHeight w:val="840"/>
        </w:trPr>
        <w:tc>
          <w:tcPr>
            <w:tcW w:w="3596" w:type="dxa"/>
            <w:gridSpan w:val="2"/>
            <w:tcBorders>
              <w:top w:val="nil"/>
              <w:left w:val="single" w:sz="8" w:space="0" w:color="auto"/>
              <w:bottom w:val="nil"/>
              <w:right w:val="nil"/>
            </w:tcBorders>
            <w:shd w:val="clear" w:color="000000" w:fill="CCFFCC"/>
            <w:noWrap/>
            <w:vAlign w:val="bottom"/>
            <w:hideMark/>
          </w:tcPr>
          <w:p w14:paraId="54955DA5" w14:textId="77777777" w:rsidR="00913F78" w:rsidRPr="00223516" w:rsidRDefault="00913F78" w:rsidP="00913F78">
            <w:pPr>
              <w:rPr>
                <w:rFonts w:ascii="Calibri" w:eastAsia="Times New Roman" w:hAnsi="Calibri" w:cs="Times New Roman"/>
                <w:color w:val="006100"/>
                <w:sz w:val="20"/>
                <w:szCs w:val="20"/>
              </w:rPr>
            </w:pPr>
            <w:r w:rsidRPr="00223516">
              <w:rPr>
                <w:rFonts w:ascii="Calibri" w:eastAsia="Times New Roman" w:hAnsi="Calibri" w:cs="Times New Roman"/>
                <w:color w:val="006100"/>
                <w:sz w:val="20"/>
                <w:szCs w:val="20"/>
              </w:rPr>
              <w:t xml:space="preserve">Average C inventory at fire loss risk </w:t>
            </w:r>
          </w:p>
        </w:tc>
        <w:tc>
          <w:tcPr>
            <w:tcW w:w="1068" w:type="dxa"/>
            <w:tcBorders>
              <w:top w:val="nil"/>
              <w:left w:val="nil"/>
              <w:bottom w:val="nil"/>
              <w:right w:val="nil"/>
            </w:tcBorders>
            <w:shd w:val="clear" w:color="000000" w:fill="CCFFCC"/>
            <w:noWrap/>
            <w:vAlign w:val="bottom"/>
            <w:hideMark/>
          </w:tcPr>
          <w:p w14:paraId="0136730A" w14:textId="77777777" w:rsidR="00913F78" w:rsidRPr="00223516" w:rsidRDefault="00913F78" w:rsidP="00913F78">
            <w:pPr>
              <w:rPr>
                <w:rFonts w:ascii="Calibri" w:eastAsia="Times New Roman" w:hAnsi="Calibri" w:cs="Times New Roman"/>
                <w:color w:val="006100"/>
                <w:sz w:val="20"/>
                <w:szCs w:val="20"/>
              </w:rPr>
            </w:pPr>
            <w:r w:rsidRPr="00223516">
              <w:rPr>
                <w:rFonts w:ascii="Calibri" w:eastAsia="Times New Roman" w:hAnsi="Calibri" w:cs="Times New Roman"/>
                <w:color w:val="006100"/>
                <w:sz w:val="20"/>
                <w:szCs w:val="20"/>
              </w:rPr>
              <w:t>Live Tree</w:t>
            </w:r>
          </w:p>
        </w:tc>
        <w:tc>
          <w:tcPr>
            <w:tcW w:w="1088" w:type="dxa"/>
            <w:tcBorders>
              <w:top w:val="nil"/>
              <w:left w:val="nil"/>
              <w:bottom w:val="nil"/>
              <w:right w:val="nil"/>
            </w:tcBorders>
            <w:shd w:val="clear" w:color="000000" w:fill="CCFFCC"/>
            <w:vAlign w:val="bottom"/>
            <w:hideMark/>
          </w:tcPr>
          <w:p w14:paraId="20E7EFEC" w14:textId="77777777" w:rsidR="00913F78" w:rsidRPr="00223516" w:rsidRDefault="00913F78" w:rsidP="00913F78">
            <w:pPr>
              <w:rPr>
                <w:rFonts w:ascii="Calibri" w:eastAsia="Times New Roman" w:hAnsi="Calibri" w:cs="Times New Roman"/>
                <w:color w:val="006100"/>
                <w:sz w:val="20"/>
                <w:szCs w:val="20"/>
              </w:rPr>
            </w:pPr>
            <w:r w:rsidRPr="00223516">
              <w:rPr>
                <w:rFonts w:ascii="Calibri" w:eastAsia="Times New Roman" w:hAnsi="Calibri" w:cs="Times New Roman"/>
                <w:color w:val="006100"/>
                <w:sz w:val="20"/>
                <w:szCs w:val="20"/>
              </w:rPr>
              <w:t>Dead, down, forest floor</w:t>
            </w:r>
          </w:p>
        </w:tc>
        <w:tc>
          <w:tcPr>
            <w:tcW w:w="1028" w:type="dxa"/>
            <w:tcBorders>
              <w:top w:val="nil"/>
              <w:left w:val="nil"/>
              <w:bottom w:val="nil"/>
              <w:right w:val="nil"/>
            </w:tcBorders>
            <w:shd w:val="clear" w:color="000000" w:fill="CCFFCC"/>
            <w:vAlign w:val="bottom"/>
            <w:hideMark/>
          </w:tcPr>
          <w:p w14:paraId="7CEBE76E" w14:textId="77777777" w:rsidR="00913F78" w:rsidRPr="00223516" w:rsidRDefault="00913F78" w:rsidP="00913F78">
            <w:pPr>
              <w:rPr>
                <w:rFonts w:ascii="Calibri" w:eastAsia="Times New Roman" w:hAnsi="Calibri" w:cs="Times New Roman"/>
                <w:color w:val="006100"/>
                <w:sz w:val="20"/>
                <w:szCs w:val="20"/>
              </w:rPr>
            </w:pPr>
            <w:r w:rsidRPr="00223516">
              <w:rPr>
                <w:rFonts w:ascii="Calibri" w:eastAsia="Times New Roman" w:hAnsi="Calibri" w:cs="Times New Roman"/>
                <w:color w:val="006100"/>
                <w:sz w:val="20"/>
                <w:szCs w:val="20"/>
              </w:rPr>
              <w:t>Soil C @ risk (50% of COLE)</w:t>
            </w:r>
          </w:p>
        </w:tc>
        <w:tc>
          <w:tcPr>
            <w:tcW w:w="1135" w:type="dxa"/>
            <w:tcBorders>
              <w:top w:val="nil"/>
              <w:left w:val="nil"/>
              <w:bottom w:val="nil"/>
              <w:right w:val="nil"/>
            </w:tcBorders>
            <w:shd w:val="clear" w:color="000000" w:fill="CCFFCC"/>
            <w:vAlign w:val="bottom"/>
            <w:hideMark/>
          </w:tcPr>
          <w:p w14:paraId="011A633C" w14:textId="77777777" w:rsidR="00913F78" w:rsidRPr="00223516" w:rsidRDefault="00913F78" w:rsidP="00913F78">
            <w:pPr>
              <w:rPr>
                <w:rFonts w:ascii="Calibri" w:eastAsia="Times New Roman" w:hAnsi="Calibri" w:cs="Times New Roman"/>
                <w:color w:val="006100"/>
                <w:sz w:val="20"/>
                <w:szCs w:val="20"/>
              </w:rPr>
            </w:pPr>
            <w:r w:rsidRPr="00223516">
              <w:rPr>
                <w:rFonts w:ascii="Calibri" w:eastAsia="Times New Roman" w:hAnsi="Calibri" w:cs="Times New Roman"/>
                <w:color w:val="006100"/>
                <w:sz w:val="20"/>
                <w:szCs w:val="20"/>
              </w:rPr>
              <w:t>Products removed</w:t>
            </w:r>
          </w:p>
        </w:tc>
        <w:tc>
          <w:tcPr>
            <w:tcW w:w="1065" w:type="dxa"/>
            <w:tcBorders>
              <w:top w:val="nil"/>
              <w:left w:val="nil"/>
              <w:bottom w:val="nil"/>
              <w:right w:val="single" w:sz="8" w:space="0" w:color="auto"/>
            </w:tcBorders>
            <w:shd w:val="clear" w:color="000000" w:fill="CCFFCC"/>
            <w:noWrap/>
            <w:vAlign w:val="bottom"/>
            <w:hideMark/>
          </w:tcPr>
          <w:p w14:paraId="6C5D9ED4" w14:textId="77777777" w:rsidR="00913F78" w:rsidRPr="00223516" w:rsidRDefault="00913F78" w:rsidP="00913F78">
            <w:pPr>
              <w:rPr>
                <w:rFonts w:ascii="Calibri" w:eastAsia="Times New Roman" w:hAnsi="Calibri" w:cs="Times New Roman"/>
                <w:color w:val="006100"/>
                <w:sz w:val="20"/>
                <w:szCs w:val="20"/>
              </w:rPr>
            </w:pPr>
            <w:r w:rsidRPr="00223516">
              <w:rPr>
                <w:rFonts w:ascii="Calibri" w:eastAsia="Times New Roman" w:hAnsi="Calibri" w:cs="Times New Roman"/>
                <w:color w:val="006100"/>
                <w:sz w:val="20"/>
                <w:szCs w:val="20"/>
              </w:rPr>
              <w:t> </w:t>
            </w:r>
          </w:p>
        </w:tc>
      </w:tr>
      <w:tr w:rsidR="00913F78" w:rsidRPr="00223516" w14:paraId="1DB4FC23" w14:textId="77777777" w:rsidTr="007C03C7">
        <w:trPr>
          <w:trHeight w:val="300"/>
        </w:trPr>
        <w:tc>
          <w:tcPr>
            <w:tcW w:w="2408" w:type="dxa"/>
            <w:tcBorders>
              <w:top w:val="nil"/>
              <w:left w:val="nil"/>
              <w:bottom w:val="nil"/>
              <w:right w:val="nil"/>
            </w:tcBorders>
            <w:shd w:val="clear" w:color="000000" w:fill="CCFFCC"/>
            <w:noWrap/>
            <w:vAlign w:val="bottom"/>
            <w:hideMark/>
          </w:tcPr>
          <w:p w14:paraId="342B4727" w14:textId="77777777" w:rsidR="00913F78" w:rsidRPr="00223516" w:rsidRDefault="00913F78" w:rsidP="00913F78">
            <w:pPr>
              <w:rPr>
                <w:rFonts w:ascii="Calibri" w:eastAsia="Times New Roman" w:hAnsi="Calibri" w:cs="Times New Roman"/>
                <w:color w:val="006100"/>
                <w:sz w:val="20"/>
                <w:szCs w:val="20"/>
              </w:rPr>
            </w:pPr>
            <w:r w:rsidRPr="00223516">
              <w:rPr>
                <w:rFonts w:ascii="Calibri" w:eastAsia="Times New Roman" w:hAnsi="Calibri" w:cs="Times New Roman"/>
                <w:color w:val="006100"/>
                <w:sz w:val="20"/>
                <w:szCs w:val="20"/>
              </w:rPr>
              <w:t>No fuels treatment</w:t>
            </w:r>
          </w:p>
        </w:tc>
        <w:tc>
          <w:tcPr>
            <w:tcW w:w="1188" w:type="dxa"/>
            <w:tcBorders>
              <w:top w:val="nil"/>
              <w:left w:val="nil"/>
              <w:bottom w:val="nil"/>
              <w:right w:val="nil"/>
            </w:tcBorders>
            <w:shd w:val="clear" w:color="000000" w:fill="CCFFCC"/>
            <w:noWrap/>
            <w:vAlign w:val="bottom"/>
            <w:hideMark/>
          </w:tcPr>
          <w:p w14:paraId="7B556780" w14:textId="77777777" w:rsidR="00913F78" w:rsidRPr="00223516" w:rsidRDefault="00913F78" w:rsidP="00913F78">
            <w:pPr>
              <w:rPr>
                <w:rFonts w:ascii="Calibri" w:eastAsia="Times New Roman" w:hAnsi="Calibri" w:cs="Times New Roman"/>
                <w:color w:val="006100"/>
                <w:sz w:val="20"/>
                <w:szCs w:val="20"/>
              </w:rPr>
            </w:pPr>
            <w:r w:rsidRPr="00223516">
              <w:rPr>
                <w:rFonts w:ascii="Calibri" w:eastAsia="Times New Roman" w:hAnsi="Calibri" w:cs="Times New Roman"/>
                <w:color w:val="006100"/>
                <w:sz w:val="20"/>
                <w:szCs w:val="20"/>
              </w:rPr>
              <w:t> </w:t>
            </w:r>
          </w:p>
        </w:tc>
        <w:tc>
          <w:tcPr>
            <w:tcW w:w="1068" w:type="dxa"/>
            <w:tcBorders>
              <w:top w:val="nil"/>
              <w:left w:val="nil"/>
              <w:bottom w:val="nil"/>
              <w:right w:val="nil"/>
            </w:tcBorders>
            <w:shd w:val="clear" w:color="000000" w:fill="FFFF00"/>
            <w:noWrap/>
            <w:vAlign w:val="bottom"/>
            <w:hideMark/>
          </w:tcPr>
          <w:p w14:paraId="16708C85" w14:textId="77777777" w:rsidR="00913F78" w:rsidRPr="00223516" w:rsidRDefault="00913F78" w:rsidP="00913F78">
            <w:pPr>
              <w:jc w:val="right"/>
              <w:rPr>
                <w:rFonts w:ascii="Calibri" w:eastAsia="Times New Roman" w:hAnsi="Calibri" w:cs="Times New Roman"/>
                <w:color w:val="006100"/>
                <w:sz w:val="20"/>
                <w:szCs w:val="20"/>
              </w:rPr>
            </w:pPr>
            <w:r w:rsidRPr="00223516">
              <w:rPr>
                <w:rFonts w:ascii="Calibri" w:eastAsia="Times New Roman" w:hAnsi="Calibri" w:cs="Times New Roman"/>
                <w:color w:val="006100"/>
                <w:sz w:val="20"/>
                <w:szCs w:val="20"/>
              </w:rPr>
              <w:t>75</w:t>
            </w:r>
          </w:p>
        </w:tc>
        <w:tc>
          <w:tcPr>
            <w:tcW w:w="1088" w:type="dxa"/>
            <w:tcBorders>
              <w:top w:val="nil"/>
              <w:left w:val="nil"/>
              <w:bottom w:val="nil"/>
              <w:right w:val="nil"/>
            </w:tcBorders>
            <w:shd w:val="clear" w:color="000000" w:fill="FFFF00"/>
            <w:noWrap/>
            <w:vAlign w:val="bottom"/>
            <w:hideMark/>
          </w:tcPr>
          <w:p w14:paraId="76CB76E5" w14:textId="77777777" w:rsidR="00913F78" w:rsidRPr="00223516" w:rsidRDefault="00913F78" w:rsidP="00913F78">
            <w:pPr>
              <w:jc w:val="right"/>
              <w:rPr>
                <w:rFonts w:ascii="Calibri" w:eastAsia="Times New Roman" w:hAnsi="Calibri" w:cs="Times New Roman"/>
                <w:color w:val="006100"/>
                <w:sz w:val="20"/>
                <w:szCs w:val="20"/>
              </w:rPr>
            </w:pPr>
            <w:r w:rsidRPr="00223516">
              <w:rPr>
                <w:rFonts w:ascii="Calibri" w:eastAsia="Times New Roman" w:hAnsi="Calibri" w:cs="Times New Roman"/>
                <w:color w:val="006100"/>
                <w:sz w:val="20"/>
                <w:szCs w:val="20"/>
              </w:rPr>
              <w:t>50</w:t>
            </w:r>
          </w:p>
        </w:tc>
        <w:tc>
          <w:tcPr>
            <w:tcW w:w="1028" w:type="dxa"/>
            <w:tcBorders>
              <w:top w:val="nil"/>
              <w:left w:val="nil"/>
              <w:bottom w:val="nil"/>
              <w:right w:val="nil"/>
            </w:tcBorders>
            <w:shd w:val="clear" w:color="000000" w:fill="FFFF00"/>
            <w:noWrap/>
            <w:vAlign w:val="bottom"/>
            <w:hideMark/>
          </w:tcPr>
          <w:p w14:paraId="769D3250" w14:textId="77777777" w:rsidR="00913F78" w:rsidRPr="00223516" w:rsidRDefault="00913F78" w:rsidP="00913F78">
            <w:pPr>
              <w:jc w:val="right"/>
              <w:rPr>
                <w:rFonts w:ascii="Calibri" w:eastAsia="Times New Roman" w:hAnsi="Calibri" w:cs="Times New Roman"/>
                <w:color w:val="006100"/>
                <w:sz w:val="20"/>
                <w:szCs w:val="20"/>
              </w:rPr>
            </w:pPr>
            <w:r w:rsidRPr="00223516">
              <w:rPr>
                <w:rFonts w:ascii="Calibri" w:eastAsia="Times New Roman" w:hAnsi="Calibri" w:cs="Times New Roman"/>
                <w:color w:val="006100"/>
                <w:sz w:val="20"/>
                <w:szCs w:val="20"/>
              </w:rPr>
              <w:t>23</w:t>
            </w:r>
          </w:p>
        </w:tc>
        <w:tc>
          <w:tcPr>
            <w:tcW w:w="1135" w:type="dxa"/>
            <w:tcBorders>
              <w:top w:val="nil"/>
              <w:left w:val="nil"/>
              <w:bottom w:val="nil"/>
              <w:right w:val="nil"/>
            </w:tcBorders>
            <w:shd w:val="clear" w:color="000000" w:fill="FFFF00"/>
            <w:noWrap/>
            <w:vAlign w:val="bottom"/>
            <w:hideMark/>
          </w:tcPr>
          <w:p w14:paraId="07A02279" w14:textId="77777777" w:rsidR="00913F78" w:rsidRPr="00223516" w:rsidRDefault="00913F78" w:rsidP="00913F78">
            <w:pPr>
              <w:jc w:val="right"/>
              <w:rPr>
                <w:rFonts w:ascii="Calibri" w:eastAsia="Times New Roman" w:hAnsi="Calibri" w:cs="Times New Roman"/>
                <w:color w:val="006100"/>
                <w:sz w:val="20"/>
                <w:szCs w:val="20"/>
              </w:rPr>
            </w:pPr>
            <w:r w:rsidRPr="00223516">
              <w:rPr>
                <w:rFonts w:ascii="Calibri" w:eastAsia="Times New Roman" w:hAnsi="Calibri" w:cs="Times New Roman"/>
                <w:color w:val="006100"/>
                <w:sz w:val="20"/>
                <w:szCs w:val="20"/>
              </w:rPr>
              <w:t>0</w:t>
            </w:r>
          </w:p>
        </w:tc>
        <w:tc>
          <w:tcPr>
            <w:tcW w:w="1065" w:type="dxa"/>
            <w:tcBorders>
              <w:top w:val="nil"/>
              <w:left w:val="nil"/>
              <w:bottom w:val="nil"/>
              <w:right w:val="single" w:sz="8" w:space="0" w:color="auto"/>
            </w:tcBorders>
            <w:shd w:val="clear" w:color="000000" w:fill="CCFFCC"/>
            <w:noWrap/>
            <w:vAlign w:val="bottom"/>
            <w:hideMark/>
          </w:tcPr>
          <w:p w14:paraId="255735BB" w14:textId="77777777" w:rsidR="00913F78" w:rsidRPr="00223516" w:rsidRDefault="00913F78" w:rsidP="00913F78">
            <w:pPr>
              <w:rPr>
                <w:rFonts w:ascii="Calibri" w:eastAsia="Times New Roman" w:hAnsi="Calibri" w:cs="Times New Roman"/>
                <w:color w:val="006100"/>
                <w:sz w:val="20"/>
                <w:szCs w:val="20"/>
              </w:rPr>
            </w:pPr>
            <w:proofErr w:type="spellStart"/>
            <w:r w:rsidRPr="00223516">
              <w:rPr>
                <w:rFonts w:ascii="Calibri" w:eastAsia="Times New Roman" w:hAnsi="Calibri" w:cs="Times New Roman"/>
                <w:color w:val="006100"/>
                <w:sz w:val="20"/>
                <w:szCs w:val="20"/>
              </w:rPr>
              <w:t>MgC</w:t>
            </w:r>
            <w:proofErr w:type="spellEnd"/>
            <w:r w:rsidRPr="00223516">
              <w:rPr>
                <w:rFonts w:ascii="Calibri" w:eastAsia="Times New Roman" w:hAnsi="Calibri" w:cs="Times New Roman"/>
                <w:color w:val="006100"/>
                <w:sz w:val="20"/>
                <w:szCs w:val="20"/>
              </w:rPr>
              <w:t>/ha</w:t>
            </w:r>
          </w:p>
        </w:tc>
      </w:tr>
      <w:tr w:rsidR="00913F78" w:rsidRPr="00223516" w14:paraId="66F7A840" w14:textId="77777777" w:rsidTr="007C03C7">
        <w:trPr>
          <w:trHeight w:val="300"/>
        </w:trPr>
        <w:tc>
          <w:tcPr>
            <w:tcW w:w="3596" w:type="dxa"/>
            <w:gridSpan w:val="2"/>
            <w:tcBorders>
              <w:top w:val="nil"/>
              <w:left w:val="nil"/>
              <w:bottom w:val="nil"/>
              <w:right w:val="nil"/>
            </w:tcBorders>
            <w:shd w:val="clear" w:color="000000" w:fill="CCFFCC"/>
            <w:noWrap/>
            <w:vAlign w:val="bottom"/>
            <w:hideMark/>
          </w:tcPr>
          <w:p w14:paraId="43397CD8" w14:textId="77777777" w:rsidR="00913F78" w:rsidRPr="00223516" w:rsidRDefault="00913F78" w:rsidP="00913F78">
            <w:pPr>
              <w:rPr>
                <w:rFonts w:ascii="Calibri" w:eastAsia="Times New Roman" w:hAnsi="Calibri" w:cs="Times New Roman"/>
                <w:color w:val="006100"/>
                <w:sz w:val="20"/>
                <w:szCs w:val="20"/>
              </w:rPr>
            </w:pPr>
            <w:r w:rsidRPr="00223516">
              <w:rPr>
                <w:rFonts w:ascii="Calibri" w:eastAsia="Times New Roman" w:hAnsi="Calibri" w:cs="Times New Roman"/>
                <w:color w:val="006100"/>
                <w:sz w:val="20"/>
                <w:szCs w:val="20"/>
              </w:rPr>
              <w:t>Fuels/Forest Health Treatment</w:t>
            </w:r>
          </w:p>
        </w:tc>
        <w:tc>
          <w:tcPr>
            <w:tcW w:w="1068" w:type="dxa"/>
            <w:tcBorders>
              <w:top w:val="nil"/>
              <w:left w:val="nil"/>
              <w:bottom w:val="nil"/>
              <w:right w:val="nil"/>
            </w:tcBorders>
            <w:shd w:val="clear" w:color="000000" w:fill="FFFF00"/>
            <w:noWrap/>
            <w:vAlign w:val="bottom"/>
            <w:hideMark/>
          </w:tcPr>
          <w:p w14:paraId="0F7731CE" w14:textId="77777777" w:rsidR="00913F78" w:rsidRPr="00223516" w:rsidRDefault="00913F78" w:rsidP="00913F78">
            <w:pPr>
              <w:jc w:val="right"/>
              <w:rPr>
                <w:rFonts w:ascii="Calibri" w:eastAsia="Times New Roman" w:hAnsi="Calibri" w:cs="Times New Roman"/>
                <w:color w:val="006100"/>
                <w:sz w:val="20"/>
                <w:szCs w:val="20"/>
              </w:rPr>
            </w:pPr>
            <w:r w:rsidRPr="00223516">
              <w:rPr>
                <w:rFonts w:ascii="Calibri" w:eastAsia="Times New Roman" w:hAnsi="Calibri" w:cs="Times New Roman"/>
                <w:color w:val="006100"/>
                <w:sz w:val="20"/>
                <w:szCs w:val="20"/>
              </w:rPr>
              <w:t>60</w:t>
            </w:r>
          </w:p>
        </w:tc>
        <w:tc>
          <w:tcPr>
            <w:tcW w:w="1088" w:type="dxa"/>
            <w:tcBorders>
              <w:top w:val="nil"/>
              <w:left w:val="nil"/>
              <w:bottom w:val="nil"/>
              <w:right w:val="nil"/>
            </w:tcBorders>
            <w:shd w:val="clear" w:color="000000" w:fill="FFFF00"/>
            <w:noWrap/>
            <w:vAlign w:val="bottom"/>
            <w:hideMark/>
          </w:tcPr>
          <w:p w14:paraId="6ABE5C50" w14:textId="77777777" w:rsidR="00913F78" w:rsidRPr="00223516" w:rsidRDefault="00913F78" w:rsidP="00913F78">
            <w:pPr>
              <w:jc w:val="right"/>
              <w:rPr>
                <w:rFonts w:ascii="Calibri" w:eastAsia="Times New Roman" w:hAnsi="Calibri" w:cs="Times New Roman"/>
                <w:color w:val="006100"/>
                <w:sz w:val="20"/>
                <w:szCs w:val="20"/>
              </w:rPr>
            </w:pPr>
            <w:r w:rsidRPr="00223516">
              <w:rPr>
                <w:rFonts w:ascii="Calibri" w:eastAsia="Times New Roman" w:hAnsi="Calibri" w:cs="Times New Roman"/>
                <w:color w:val="006100"/>
                <w:sz w:val="20"/>
                <w:szCs w:val="20"/>
              </w:rPr>
              <w:t>50</w:t>
            </w:r>
          </w:p>
        </w:tc>
        <w:tc>
          <w:tcPr>
            <w:tcW w:w="1028" w:type="dxa"/>
            <w:tcBorders>
              <w:top w:val="nil"/>
              <w:left w:val="nil"/>
              <w:bottom w:val="nil"/>
              <w:right w:val="nil"/>
            </w:tcBorders>
            <w:shd w:val="clear" w:color="000000" w:fill="FFFF00"/>
            <w:noWrap/>
            <w:vAlign w:val="bottom"/>
            <w:hideMark/>
          </w:tcPr>
          <w:p w14:paraId="23E856E9" w14:textId="77777777" w:rsidR="00913F78" w:rsidRPr="00223516" w:rsidRDefault="00913F78" w:rsidP="00913F78">
            <w:pPr>
              <w:jc w:val="right"/>
              <w:rPr>
                <w:rFonts w:ascii="Calibri" w:eastAsia="Times New Roman" w:hAnsi="Calibri" w:cs="Times New Roman"/>
                <w:color w:val="006100"/>
                <w:sz w:val="20"/>
                <w:szCs w:val="20"/>
              </w:rPr>
            </w:pPr>
            <w:r w:rsidRPr="00223516">
              <w:rPr>
                <w:rFonts w:ascii="Calibri" w:eastAsia="Times New Roman" w:hAnsi="Calibri" w:cs="Times New Roman"/>
                <w:color w:val="006100"/>
                <w:sz w:val="20"/>
                <w:szCs w:val="20"/>
              </w:rPr>
              <w:t>23</w:t>
            </w:r>
          </w:p>
        </w:tc>
        <w:tc>
          <w:tcPr>
            <w:tcW w:w="1135" w:type="dxa"/>
            <w:tcBorders>
              <w:top w:val="nil"/>
              <w:left w:val="nil"/>
              <w:bottom w:val="nil"/>
              <w:right w:val="nil"/>
            </w:tcBorders>
            <w:shd w:val="clear" w:color="000000" w:fill="FFFF00"/>
            <w:noWrap/>
            <w:vAlign w:val="bottom"/>
            <w:hideMark/>
          </w:tcPr>
          <w:p w14:paraId="235AE710" w14:textId="77777777" w:rsidR="00913F78" w:rsidRPr="00223516" w:rsidRDefault="00913F78" w:rsidP="00913F78">
            <w:pPr>
              <w:jc w:val="right"/>
              <w:rPr>
                <w:rFonts w:ascii="Calibri" w:eastAsia="Times New Roman" w:hAnsi="Calibri" w:cs="Times New Roman"/>
                <w:color w:val="006100"/>
                <w:sz w:val="20"/>
                <w:szCs w:val="20"/>
              </w:rPr>
            </w:pPr>
            <w:r w:rsidRPr="00223516">
              <w:rPr>
                <w:rFonts w:ascii="Calibri" w:eastAsia="Times New Roman" w:hAnsi="Calibri" w:cs="Times New Roman"/>
                <w:color w:val="006100"/>
                <w:sz w:val="20"/>
                <w:szCs w:val="20"/>
              </w:rPr>
              <w:t>20</w:t>
            </w:r>
          </w:p>
        </w:tc>
        <w:tc>
          <w:tcPr>
            <w:tcW w:w="1065" w:type="dxa"/>
            <w:tcBorders>
              <w:top w:val="nil"/>
              <w:left w:val="nil"/>
              <w:bottom w:val="nil"/>
              <w:right w:val="single" w:sz="8" w:space="0" w:color="auto"/>
            </w:tcBorders>
            <w:shd w:val="clear" w:color="000000" w:fill="CCFFCC"/>
            <w:noWrap/>
            <w:vAlign w:val="bottom"/>
            <w:hideMark/>
          </w:tcPr>
          <w:p w14:paraId="715F100D" w14:textId="77777777" w:rsidR="00913F78" w:rsidRPr="00223516" w:rsidRDefault="00913F78" w:rsidP="00913F78">
            <w:pPr>
              <w:rPr>
                <w:rFonts w:ascii="Calibri" w:eastAsia="Times New Roman" w:hAnsi="Calibri" w:cs="Times New Roman"/>
                <w:color w:val="006100"/>
                <w:sz w:val="20"/>
                <w:szCs w:val="20"/>
              </w:rPr>
            </w:pPr>
            <w:proofErr w:type="spellStart"/>
            <w:r w:rsidRPr="00223516">
              <w:rPr>
                <w:rFonts w:ascii="Calibri" w:eastAsia="Times New Roman" w:hAnsi="Calibri" w:cs="Times New Roman"/>
                <w:color w:val="006100"/>
                <w:sz w:val="20"/>
                <w:szCs w:val="20"/>
              </w:rPr>
              <w:t>MgC</w:t>
            </w:r>
            <w:proofErr w:type="spellEnd"/>
            <w:r w:rsidRPr="00223516">
              <w:rPr>
                <w:rFonts w:ascii="Calibri" w:eastAsia="Times New Roman" w:hAnsi="Calibri" w:cs="Times New Roman"/>
                <w:color w:val="006100"/>
                <w:sz w:val="20"/>
                <w:szCs w:val="20"/>
              </w:rPr>
              <w:t>/ha</w:t>
            </w:r>
          </w:p>
        </w:tc>
      </w:tr>
      <w:tr w:rsidR="00913F78" w:rsidRPr="00223516" w14:paraId="1D997060" w14:textId="77777777" w:rsidTr="007C03C7">
        <w:trPr>
          <w:trHeight w:val="300"/>
        </w:trPr>
        <w:tc>
          <w:tcPr>
            <w:tcW w:w="2408" w:type="dxa"/>
            <w:tcBorders>
              <w:top w:val="nil"/>
              <w:left w:val="single" w:sz="8" w:space="0" w:color="auto"/>
              <w:bottom w:val="single" w:sz="8" w:space="0" w:color="auto"/>
              <w:right w:val="nil"/>
            </w:tcBorders>
            <w:shd w:val="clear" w:color="000000" w:fill="CCFFCC"/>
            <w:noWrap/>
            <w:vAlign w:val="bottom"/>
            <w:hideMark/>
          </w:tcPr>
          <w:p w14:paraId="45FE7DE2" w14:textId="77777777" w:rsidR="00913F78" w:rsidRPr="00223516" w:rsidRDefault="00913F78" w:rsidP="00913F78">
            <w:pPr>
              <w:rPr>
                <w:rFonts w:ascii="Calibri" w:eastAsia="Times New Roman" w:hAnsi="Calibri" w:cs="Times New Roman"/>
                <w:color w:val="006100"/>
                <w:sz w:val="20"/>
                <w:szCs w:val="20"/>
              </w:rPr>
            </w:pPr>
            <w:r w:rsidRPr="00223516">
              <w:rPr>
                <w:rFonts w:ascii="Calibri" w:eastAsia="Times New Roman" w:hAnsi="Calibri" w:cs="Times New Roman"/>
                <w:color w:val="006100"/>
                <w:sz w:val="20"/>
                <w:szCs w:val="20"/>
              </w:rPr>
              <w:t> </w:t>
            </w:r>
          </w:p>
        </w:tc>
        <w:tc>
          <w:tcPr>
            <w:tcW w:w="1188" w:type="dxa"/>
            <w:tcBorders>
              <w:top w:val="nil"/>
              <w:left w:val="nil"/>
              <w:bottom w:val="single" w:sz="8" w:space="0" w:color="auto"/>
              <w:right w:val="nil"/>
            </w:tcBorders>
            <w:shd w:val="clear" w:color="000000" w:fill="CCFFCC"/>
            <w:noWrap/>
            <w:vAlign w:val="bottom"/>
            <w:hideMark/>
          </w:tcPr>
          <w:p w14:paraId="4F3030C0" w14:textId="77777777" w:rsidR="00913F78" w:rsidRPr="00223516" w:rsidRDefault="00913F78" w:rsidP="00913F78">
            <w:pPr>
              <w:rPr>
                <w:rFonts w:ascii="Calibri" w:eastAsia="Times New Roman" w:hAnsi="Calibri" w:cs="Times New Roman"/>
                <w:color w:val="006100"/>
                <w:sz w:val="20"/>
                <w:szCs w:val="20"/>
              </w:rPr>
            </w:pPr>
            <w:r w:rsidRPr="00223516">
              <w:rPr>
                <w:rFonts w:ascii="Calibri" w:eastAsia="Times New Roman" w:hAnsi="Calibri" w:cs="Times New Roman"/>
                <w:color w:val="006100"/>
                <w:sz w:val="20"/>
                <w:szCs w:val="20"/>
              </w:rPr>
              <w:t> </w:t>
            </w:r>
          </w:p>
        </w:tc>
        <w:tc>
          <w:tcPr>
            <w:tcW w:w="1068" w:type="dxa"/>
            <w:tcBorders>
              <w:top w:val="nil"/>
              <w:left w:val="nil"/>
              <w:bottom w:val="single" w:sz="8" w:space="0" w:color="auto"/>
              <w:right w:val="nil"/>
            </w:tcBorders>
            <w:shd w:val="clear" w:color="000000" w:fill="CCFFCC"/>
            <w:noWrap/>
            <w:vAlign w:val="bottom"/>
            <w:hideMark/>
          </w:tcPr>
          <w:p w14:paraId="06CB13F0" w14:textId="77777777" w:rsidR="00913F78" w:rsidRPr="00223516" w:rsidRDefault="00913F78" w:rsidP="00913F78">
            <w:pPr>
              <w:rPr>
                <w:rFonts w:ascii="Calibri" w:eastAsia="Times New Roman" w:hAnsi="Calibri" w:cs="Times New Roman"/>
                <w:color w:val="006100"/>
                <w:sz w:val="20"/>
                <w:szCs w:val="20"/>
              </w:rPr>
            </w:pPr>
            <w:r w:rsidRPr="00223516">
              <w:rPr>
                <w:rFonts w:ascii="Calibri" w:eastAsia="Times New Roman" w:hAnsi="Calibri" w:cs="Times New Roman"/>
                <w:color w:val="006100"/>
                <w:sz w:val="20"/>
                <w:szCs w:val="20"/>
              </w:rPr>
              <w:t> </w:t>
            </w:r>
          </w:p>
        </w:tc>
        <w:tc>
          <w:tcPr>
            <w:tcW w:w="1088" w:type="dxa"/>
            <w:tcBorders>
              <w:top w:val="nil"/>
              <w:left w:val="nil"/>
              <w:bottom w:val="single" w:sz="8" w:space="0" w:color="auto"/>
              <w:right w:val="nil"/>
            </w:tcBorders>
            <w:shd w:val="clear" w:color="000000" w:fill="CCFFCC"/>
            <w:noWrap/>
            <w:vAlign w:val="bottom"/>
            <w:hideMark/>
          </w:tcPr>
          <w:p w14:paraId="37C89E07" w14:textId="77777777" w:rsidR="00913F78" w:rsidRPr="00223516" w:rsidRDefault="00913F78" w:rsidP="00913F78">
            <w:pPr>
              <w:rPr>
                <w:rFonts w:ascii="Calibri" w:eastAsia="Times New Roman" w:hAnsi="Calibri" w:cs="Times New Roman"/>
                <w:color w:val="006100"/>
                <w:sz w:val="20"/>
                <w:szCs w:val="20"/>
              </w:rPr>
            </w:pPr>
            <w:r w:rsidRPr="00223516">
              <w:rPr>
                <w:rFonts w:ascii="Calibri" w:eastAsia="Times New Roman" w:hAnsi="Calibri" w:cs="Times New Roman"/>
                <w:color w:val="006100"/>
                <w:sz w:val="20"/>
                <w:szCs w:val="20"/>
              </w:rPr>
              <w:t> </w:t>
            </w:r>
          </w:p>
        </w:tc>
        <w:tc>
          <w:tcPr>
            <w:tcW w:w="1028" w:type="dxa"/>
            <w:tcBorders>
              <w:top w:val="nil"/>
              <w:left w:val="nil"/>
              <w:bottom w:val="single" w:sz="8" w:space="0" w:color="auto"/>
              <w:right w:val="nil"/>
            </w:tcBorders>
            <w:shd w:val="clear" w:color="000000" w:fill="CCFFCC"/>
            <w:noWrap/>
            <w:vAlign w:val="bottom"/>
            <w:hideMark/>
          </w:tcPr>
          <w:p w14:paraId="26634318" w14:textId="77777777" w:rsidR="00913F78" w:rsidRPr="00223516" w:rsidRDefault="00913F78" w:rsidP="00913F78">
            <w:pPr>
              <w:rPr>
                <w:rFonts w:ascii="Calibri" w:eastAsia="Times New Roman" w:hAnsi="Calibri" w:cs="Times New Roman"/>
                <w:color w:val="006100"/>
                <w:sz w:val="20"/>
                <w:szCs w:val="20"/>
              </w:rPr>
            </w:pPr>
            <w:r w:rsidRPr="00223516">
              <w:rPr>
                <w:rFonts w:ascii="Calibri" w:eastAsia="Times New Roman" w:hAnsi="Calibri" w:cs="Times New Roman"/>
                <w:color w:val="006100"/>
                <w:sz w:val="20"/>
                <w:szCs w:val="20"/>
              </w:rPr>
              <w:t> </w:t>
            </w:r>
          </w:p>
        </w:tc>
        <w:tc>
          <w:tcPr>
            <w:tcW w:w="1135" w:type="dxa"/>
            <w:tcBorders>
              <w:top w:val="nil"/>
              <w:left w:val="nil"/>
              <w:bottom w:val="single" w:sz="8" w:space="0" w:color="auto"/>
              <w:right w:val="nil"/>
            </w:tcBorders>
            <w:shd w:val="clear" w:color="000000" w:fill="CCFFCC"/>
            <w:noWrap/>
            <w:vAlign w:val="bottom"/>
            <w:hideMark/>
          </w:tcPr>
          <w:p w14:paraId="4911AD4F" w14:textId="77777777" w:rsidR="00913F78" w:rsidRPr="00223516" w:rsidRDefault="00913F78" w:rsidP="00913F78">
            <w:pPr>
              <w:rPr>
                <w:rFonts w:ascii="Calibri" w:eastAsia="Times New Roman" w:hAnsi="Calibri" w:cs="Times New Roman"/>
                <w:color w:val="006100"/>
                <w:sz w:val="20"/>
                <w:szCs w:val="20"/>
              </w:rPr>
            </w:pPr>
            <w:r w:rsidRPr="00223516">
              <w:rPr>
                <w:rFonts w:ascii="Calibri" w:eastAsia="Times New Roman" w:hAnsi="Calibri" w:cs="Times New Roman"/>
                <w:color w:val="006100"/>
                <w:sz w:val="20"/>
                <w:szCs w:val="20"/>
              </w:rPr>
              <w:t> </w:t>
            </w:r>
          </w:p>
        </w:tc>
        <w:tc>
          <w:tcPr>
            <w:tcW w:w="1065" w:type="dxa"/>
            <w:tcBorders>
              <w:top w:val="nil"/>
              <w:left w:val="nil"/>
              <w:bottom w:val="single" w:sz="8" w:space="0" w:color="auto"/>
              <w:right w:val="single" w:sz="8" w:space="0" w:color="auto"/>
            </w:tcBorders>
            <w:shd w:val="clear" w:color="000000" w:fill="CCFFCC"/>
            <w:noWrap/>
            <w:vAlign w:val="bottom"/>
            <w:hideMark/>
          </w:tcPr>
          <w:p w14:paraId="46329560" w14:textId="77777777" w:rsidR="00913F78" w:rsidRPr="00223516" w:rsidRDefault="00913F78" w:rsidP="00913F78">
            <w:pPr>
              <w:rPr>
                <w:rFonts w:ascii="Calibri" w:eastAsia="Times New Roman" w:hAnsi="Calibri" w:cs="Times New Roman"/>
                <w:color w:val="006100"/>
                <w:sz w:val="20"/>
                <w:szCs w:val="20"/>
              </w:rPr>
            </w:pPr>
            <w:r w:rsidRPr="00223516">
              <w:rPr>
                <w:rFonts w:ascii="Calibri" w:eastAsia="Times New Roman" w:hAnsi="Calibri" w:cs="Times New Roman"/>
                <w:color w:val="006100"/>
                <w:sz w:val="20"/>
                <w:szCs w:val="20"/>
              </w:rPr>
              <w:t> </w:t>
            </w:r>
          </w:p>
        </w:tc>
      </w:tr>
    </w:tbl>
    <w:p w14:paraId="2278C6F4" w14:textId="77777777" w:rsidR="00913F78" w:rsidRDefault="00913F78" w:rsidP="00913F78"/>
    <w:p w14:paraId="1F1427FC" w14:textId="77777777" w:rsidR="00913F78" w:rsidRDefault="00913F78" w:rsidP="009C248D"/>
    <w:p w14:paraId="474A25CF" w14:textId="1C12CA5C" w:rsidR="00662D71" w:rsidRDefault="00223516" w:rsidP="00FF7D74">
      <w:r>
        <w:t>The COLE model based estimates of carbon stocks in the untreated and treated stands are shown in the following figures</w:t>
      </w:r>
      <w:r w:rsidR="00741488">
        <w:t xml:space="preserve"> 3 and 4. </w:t>
      </w:r>
    </w:p>
    <w:p w14:paraId="5E8759F0" w14:textId="77777777" w:rsidR="00223516" w:rsidRDefault="00223516" w:rsidP="00FF7D74"/>
    <w:p w14:paraId="56E44CFB" w14:textId="77777777" w:rsidR="00223516" w:rsidRDefault="00223516" w:rsidP="00FF7D74"/>
    <w:p w14:paraId="0F6A0EAE" w14:textId="77777777" w:rsidR="00223516" w:rsidRDefault="00223516" w:rsidP="00FF7D74"/>
    <w:p w14:paraId="4B391921" w14:textId="398E4128" w:rsidR="00223516" w:rsidRDefault="00223516" w:rsidP="00FF7D74">
      <w:r>
        <w:rPr>
          <w:noProof/>
        </w:rPr>
        <w:drawing>
          <wp:inline distT="0" distB="0" distL="0" distR="0" wp14:anchorId="21667286" wp14:editId="72445418">
            <wp:extent cx="4724400" cy="3441700"/>
            <wp:effectExtent l="0" t="0" r="25400" b="1270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C25E3C2" w14:textId="58233C85" w:rsidR="00223516" w:rsidRDefault="00CA07B1" w:rsidP="00FF7D74">
      <w:r>
        <w:t xml:space="preserve">Figure 3: </w:t>
      </w:r>
      <w:r w:rsidR="007B0CC3">
        <w:t>All carbon pools in California Mixed Conifer Forest – 1 ha.</w:t>
      </w:r>
    </w:p>
    <w:p w14:paraId="349F724D" w14:textId="77777777" w:rsidR="00223516" w:rsidRDefault="00223516" w:rsidP="00FF7D74"/>
    <w:p w14:paraId="7D0ADB5C" w14:textId="4EDA6A53" w:rsidR="00223516" w:rsidRDefault="00223516" w:rsidP="00FF7D74">
      <w:r>
        <w:rPr>
          <w:noProof/>
        </w:rPr>
        <w:lastRenderedPageBreak/>
        <w:drawing>
          <wp:inline distT="0" distB="0" distL="0" distR="0" wp14:anchorId="2C2DC10E" wp14:editId="49BDE272">
            <wp:extent cx="4572000" cy="3467100"/>
            <wp:effectExtent l="0" t="0" r="25400" b="1270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48E51A8" w14:textId="5AD5973A" w:rsidR="00223516" w:rsidRDefault="007B0CC3" w:rsidP="00FF7D74">
      <w:r>
        <w:t>Figure 4: No treatment and treated estimates of live tree carbon per ha</w:t>
      </w:r>
    </w:p>
    <w:p w14:paraId="02DF6FFA" w14:textId="77777777" w:rsidR="00223516" w:rsidRDefault="00223516" w:rsidP="00FF7D74"/>
    <w:p w14:paraId="0FA3987C" w14:textId="0AE05AD9" w:rsidR="004E7EE9" w:rsidRDefault="004E7EE9" w:rsidP="00FF7D74">
      <w:r>
        <w:t>Different fuels treatments</w:t>
      </w:r>
      <w:r w:rsidR="00D53842">
        <w:t xml:space="preserve"> (Table 3)</w:t>
      </w:r>
      <w:r>
        <w:t xml:space="preserve"> will be applied within any project depending on access, safety, costs, potential revenue, and resources. Various treatments are projected to have different impacts on how much live tree carbon and dead tree/floor/soil carbon are removed or burned. Table </w:t>
      </w:r>
      <w:r w:rsidR="00741488">
        <w:t xml:space="preserve">4 </w:t>
      </w:r>
      <w:r>
        <w:t>summarizes the assumptions used in a model run. Changing any of the coefficients in this table within the worksheet will change all the summary calculations.</w:t>
      </w:r>
    </w:p>
    <w:p w14:paraId="459233D1" w14:textId="77777777" w:rsidR="00112B28" w:rsidRDefault="00112B28" w:rsidP="00FF7D74"/>
    <w:p w14:paraId="359F050B" w14:textId="2C2BE91F" w:rsidR="00112B28" w:rsidRDefault="00112B28" w:rsidP="00112B28">
      <w:r>
        <w:t xml:space="preserve">Table </w:t>
      </w:r>
      <w:r w:rsidR="007B0CC3">
        <w:t>3:</w:t>
      </w:r>
      <w:r>
        <w:t xml:space="preserve"> Carbon signatures of different harvest practices</w:t>
      </w:r>
    </w:p>
    <w:tbl>
      <w:tblPr>
        <w:tblW w:w="8010" w:type="dxa"/>
        <w:tblInd w:w="108" w:type="dxa"/>
        <w:tblLook w:val="04A0" w:firstRow="1" w:lastRow="0" w:firstColumn="1" w:lastColumn="0" w:noHBand="0" w:noVBand="1"/>
      </w:tblPr>
      <w:tblGrid>
        <w:gridCol w:w="3862"/>
        <w:gridCol w:w="4148"/>
      </w:tblGrid>
      <w:tr w:rsidR="00112B28" w:rsidRPr="002C22E6" w14:paraId="3A39008E" w14:textId="77777777" w:rsidTr="00D44A07">
        <w:trPr>
          <w:trHeight w:val="280"/>
        </w:trPr>
        <w:tc>
          <w:tcPr>
            <w:tcW w:w="38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1552F" w14:textId="77777777" w:rsidR="00112B28" w:rsidRPr="002C22E6" w:rsidRDefault="00112B28" w:rsidP="00D44A07">
            <w:pPr>
              <w:rPr>
                <w:rFonts w:ascii="Calibri" w:eastAsia="Times New Roman" w:hAnsi="Calibri" w:cs="Arial"/>
                <w:color w:val="000000"/>
                <w:sz w:val="20"/>
                <w:szCs w:val="20"/>
              </w:rPr>
            </w:pPr>
            <w:r w:rsidRPr="002C22E6">
              <w:rPr>
                <w:rFonts w:ascii="Calibri" w:eastAsia="Times New Roman" w:hAnsi="Calibri" w:cs="Arial"/>
                <w:color w:val="000000"/>
                <w:sz w:val="20"/>
                <w:szCs w:val="20"/>
              </w:rPr>
              <w:t>Full product utilization</w:t>
            </w:r>
          </w:p>
        </w:tc>
        <w:tc>
          <w:tcPr>
            <w:tcW w:w="4148" w:type="dxa"/>
            <w:tcBorders>
              <w:top w:val="single" w:sz="4" w:space="0" w:color="auto"/>
              <w:left w:val="single" w:sz="4" w:space="0" w:color="auto"/>
              <w:bottom w:val="single" w:sz="4" w:space="0" w:color="auto"/>
              <w:right w:val="single" w:sz="4" w:space="0" w:color="auto"/>
            </w:tcBorders>
          </w:tcPr>
          <w:p w14:paraId="527DABEA" w14:textId="77777777" w:rsidR="00112B28" w:rsidRPr="002C22E6" w:rsidRDefault="00112B28" w:rsidP="00D44A07">
            <w:pPr>
              <w:rPr>
                <w:rFonts w:ascii="Arial" w:eastAsia="Times New Roman" w:hAnsi="Arial" w:cs="Arial"/>
                <w:sz w:val="20"/>
                <w:szCs w:val="20"/>
              </w:rPr>
            </w:pPr>
            <w:r>
              <w:rPr>
                <w:rFonts w:ascii="Arial" w:eastAsia="Times New Roman" w:hAnsi="Arial" w:cs="Arial"/>
                <w:sz w:val="20"/>
                <w:szCs w:val="20"/>
              </w:rPr>
              <w:t>Most volume is chipped and used for bioenergy with a minor portion of the volume used for lumber</w:t>
            </w:r>
          </w:p>
        </w:tc>
      </w:tr>
      <w:tr w:rsidR="00112B28" w:rsidRPr="002C22E6" w14:paraId="39E01BB2" w14:textId="77777777" w:rsidTr="00D44A07">
        <w:trPr>
          <w:trHeight w:val="280"/>
        </w:trPr>
        <w:tc>
          <w:tcPr>
            <w:tcW w:w="38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72B8B" w14:textId="63A2A5A5" w:rsidR="00112B28" w:rsidRPr="002C22E6" w:rsidRDefault="00112B28" w:rsidP="00D44A07">
            <w:pPr>
              <w:rPr>
                <w:rFonts w:ascii="Calibri" w:eastAsia="Times New Roman" w:hAnsi="Calibri" w:cs="Arial"/>
                <w:color w:val="000000"/>
                <w:sz w:val="20"/>
                <w:szCs w:val="20"/>
              </w:rPr>
            </w:pPr>
            <w:r>
              <w:rPr>
                <w:rFonts w:ascii="Calibri" w:eastAsia="Times New Roman" w:hAnsi="Calibri" w:cs="Arial"/>
                <w:color w:val="000000"/>
                <w:sz w:val="20"/>
                <w:szCs w:val="20"/>
              </w:rPr>
              <w:t xml:space="preserve">Partial Utilization: </w:t>
            </w:r>
            <w:r w:rsidRPr="002C22E6">
              <w:rPr>
                <w:rFonts w:ascii="Calibri" w:eastAsia="Times New Roman" w:hAnsi="Calibri" w:cs="Arial"/>
                <w:color w:val="000000"/>
                <w:sz w:val="20"/>
                <w:szCs w:val="20"/>
              </w:rPr>
              <w:t>1/2 remove, 1/2 lop and scatter</w:t>
            </w:r>
          </w:p>
        </w:tc>
        <w:tc>
          <w:tcPr>
            <w:tcW w:w="4148" w:type="dxa"/>
            <w:tcBorders>
              <w:top w:val="single" w:sz="4" w:space="0" w:color="auto"/>
              <w:left w:val="single" w:sz="4" w:space="0" w:color="auto"/>
              <w:bottom w:val="single" w:sz="4" w:space="0" w:color="auto"/>
              <w:right w:val="single" w:sz="4" w:space="0" w:color="auto"/>
            </w:tcBorders>
          </w:tcPr>
          <w:p w14:paraId="54AE32CF" w14:textId="77777777" w:rsidR="00112B28" w:rsidRPr="002C22E6" w:rsidRDefault="00112B28" w:rsidP="00D44A07">
            <w:pPr>
              <w:rPr>
                <w:rFonts w:ascii="Arial" w:eastAsia="Times New Roman" w:hAnsi="Arial" w:cs="Arial"/>
                <w:sz w:val="20"/>
                <w:szCs w:val="20"/>
              </w:rPr>
            </w:pPr>
            <w:r>
              <w:rPr>
                <w:rFonts w:ascii="Arial" w:eastAsia="Times New Roman" w:hAnsi="Arial" w:cs="Arial"/>
                <w:sz w:val="20"/>
                <w:szCs w:val="20"/>
              </w:rPr>
              <w:t>More accessible areas have products removed while less accessible areas have harvested volume processed in place</w:t>
            </w:r>
          </w:p>
        </w:tc>
      </w:tr>
      <w:tr w:rsidR="00112B28" w:rsidRPr="002C22E6" w14:paraId="1F153B49" w14:textId="77777777" w:rsidTr="00D44A07">
        <w:trPr>
          <w:trHeight w:val="280"/>
        </w:trPr>
        <w:tc>
          <w:tcPr>
            <w:tcW w:w="38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3561A" w14:textId="77777777" w:rsidR="00112B28" w:rsidRPr="002C22E6" w:rsidRDefault="00112B28" w:rsidP="00D44A07">
            <w:pPr>
              <w:rPr>
                <w:rFonts w:ascii="Calibri" w:eastAsia="Times New Roman" w:hAnsi="Calibri" w:cs="Arial"/>
                <w:color w:val="000000"/>
                <w:sz w:val="20"/>
                <w:szCs w:val="20"/>
              </w:rPr>
            </w:pPr>
            <w:r w:rsidRPr="002C22E6">
              <w:rPr>
                <w:rFonts w:ascii="Calibri" w:eastAsia="Times New Roman" w:hAnsi="Calibri" w:cs="Arial"/>
                <w:color w:val="000000"/>
                <w:sz w:val="20"/>
                <w:szCs w:val="20"/>
              </w:rPr>
              <w:t xml:space="preserve">Lop, scatter and leave </w:t>
            </w:r>
          </w:p>
        </w:tc>
        <w:tc>
          <w:tcPr>
            <w:tcW w:w="4148" w:type="dxa"/>
            <w:tcBorders>
              <w:top w:val="single" w:sz="4" w:space="0" w:color="auto"/>
              <w:left w:val="single" w:sz="4" w:space="0" w:color="auto"/>
              <w:bottom w:val="single" w:sz="4" w:space="0" w:color="auto"/>
              <w:right w:val="single" w:sz="4" w:space="0" w:color="auto"/>
            </w:tcBorders>
          </w:tcPr>
          <w:p w14:paraId="605B0680" w14:textId="2D9B0611" w:rsidR="00112B28" w:rsidRPr="002C22E6" w:rsidRDefault="00112B28" w:rsidP="00D764C5">
            <w:pPr>
              <w:rPr>
                <w:rFonts w:ascii="Arial" w:eastAsia="Times New Roman" w:hAnsi="Arial" w:cs="Arial"/>
                <w:sz w:val="20"/>
                <w:szCs w:val="20"/>
              </w:rPr>
            </w:pPr>
            <w:r>
              <w:rPr>
                <w:rFonts w:ascii="Arial" w:eastAsia="Times New Roman" w:hAnsi="Arial" w:cs="Arial"/>
                <w:sz w:val="20"/>
                <w:szCs w:val="20"/>
              </w:rPr>
              <w:t xml:space="preserve">All harvested trees and chipped and scattered on site. The carbon is added to the down wood that will burn </w:t>
            </w:r>
            <w:r w:rsidR="00D764C5">
              <w:rPr>
                <w:rFonts w:ascii="Arial" w:eastAsia="Times New Roman" w:hAnsi="Arial" w:cs="Arial"/>
                <w:sz w:val="20"/>
                <w:szCs w:val="20"/>
              </w:rPr>
              <w:t xml:space="preserve">in </w:t>
            </w:r>
            <w:r>
              <w:rPr>
                <w:rFonts w:ascii="Arial" w:eastAsia="Times New Roman" w:hAnsi="Arial" w:cs="Arial"/>
                <w:sz w:val="20"/>
                <w:szCs w:val="20"/>
              </w:rPr>
              <w:t xml:space="preserve">a wildfire </w:t>
            </w:r>
          </w:p>
        </w:tc>
      </w:tr>
      <w:tr w:rsidR="00112B28" w:rsidRPr="002C22E6" w14:paraId="3B6CF0AF" w14:textId="77777777" w:rsidTr="00D44A07">
        <w:trPr>
          <w:trHeight w:val="280"/>
        </w:trPr>
        <w:tc>
          <w:tcPr>
            <w:tcW w:w="38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030BF" w14:textId="77777777" w:rsidR="00112B28" w:rsidRPr="002C22E6" w:rsidRDefault="00112B28" w:rsidP="00D44A07">
            <w:pPr>
              <w:rPr>
                <w:rFonts w:ascii="Calibri" w:eastAsia="Times New Roman" w:hAnsi="Calibri" w:cs="Arial"/>
                <w:color w:val="000000"/>
                <w:sz w:val="20"/>
                <w:szCs w:val="20"/>
              </w:rPr>
            </w:pPr>
            <w:r w:rsidRPr="002C22E6">
              <w:rPr>
                <w:rFonts w:ascii="Calibri" w:eastAsia="Times New Roman" w:hAnsi="Calibri" w:cs="Arial"/>
                <w:color w:val="000000"/>
                <w:sz w:val="20"/>
                <w:szCs w:val="20"/>
              </w:rPr>
              <w:t>Pile burn</w:t>
            </w:r>
          </w:p>
        </w:tc>
        <w:tc>
          <w:tcPr>
            <w:tcW w:w="4148" w:type="dxa"/>
            <w:tcBorders>
              <w:top w:val="single" w:sz="4" w:space="0" w:color="auto"/>
              <w:left w:val="single" w:sz="4" w:space="0" w:color="auto"/>
              <w:bottom w:val="single" w:sz="4" w:space="0" w:color="auto"/>
              <w:right w:val="single" w:sz="4" w:space="0" w:color="auto"/>
            </w:tcBorders>
          </w:tcPr>
          <w:p w14:paraId="12AABEF8" w14:textId="77777777" w:rsidR="00112B28" w:rsidRPr="002C22E6" w:rsidRDefault="00112B28" w:rsidP="00D44A07">
            <w:pPr>
              <w:rPr>
                <w:rFonts w:ascii="Arial" w:eastAsia="Times New Roman" w:hAnsi="Arial" w:cs="Arial"/>
                <w:sz w:val="20"/>
                <w:szCs w:val="20"/>
              </w:rPr>
            </w:pPr>
            <w:r>
              <w:rPr>
                <w:rFonts w:ascii="Arial" w:eastAsia="Times New Roman" w:hAnsi="Arial" w:cs="Arial"/>
                <w:sz w:val="20"/>
                <w:szCs w:val="20"/>
              </w:rPr>
              <w:t>All harvested trees is collected and burned</w:t>
            </w:r>
          </w:p>
        </w:tc>
      </w:tr>
      <w:tr w:rsidR="00112B28" w:rsidRPr="002C22E6" w14:paraId="3B9890F0" w14:textId="77777777" w:rsidTr="00D44A07">
        <w:trPr>
          <w:trHeight w:val="280"/>
        </w:trPr>
        <w:tc>
          <w:tcPr>
            <w:tcW w:w="38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A3314" w14:textId="77777777" w:rsidR="00112B28" w:rsidRPr="002C22E6" w:rsidRDefault="00112B28" w:rsidP="00D44A07">
            <w:pPr>
              <w:rPr>
                <w:rFonts w:ascii="Calibri" w:eastAsia="Times New Roman" w:hAnsi="Calibri" w:cs="Arial"/>
                <w:color w:val="000000"/>
                <w:sz w:val="20"/>
                <w:szCs w:val="20"/>
              </w:rPr>
            </w:pPr>
            <w:r>
              <w:rPr>
                <w:rFonts w:ascii="Calibri" w:eastAsia="Times New Roman" w:hAnsi="Calibri" w:cs="Arial"/>
                <w:color w:val="000000"/>
                <w:sz w:val="20"/>
                <w:szCs w:val="20"/>
              </w:rPr>
              <w:t xml:space="preserve">Full </w:t>
            </w:r>
            <w:r w:rsidRPr="002C22E6">
              <w:rPr>
                <w:rFonts w:ascii="Calibri" w:eastAsia="Times New Roman" w:hAnsi="Calibri" w:cs="Arial"/>
                <w:color w:val="000000"/>
                <w:sz w:val="20"/>
                <w:szCs w:val="20"/>
              </w:rPr>
              <w:t xml:space="preserve">Rx burn 2x </w:t>
            </w:r>
            <w:proofErr w:type="spellStart"/>
            <w:r w:rsidRPr="002C22E6">
              <w:rPr>
                <w:rFonts w:ascii="Calibri" w:eastAsia="Times New Roman" w:hAnsi="Calibri" w:cs="Arial"/>
                <w:color w:val="000000"/>
                <w:sz w:val="20"/>
                <w:szCs w:val="20"/>
              </w:rPr>
              <w:t>tmts</w:t>
            </w:r>
            <w:proofErr w:type="spellEnd"/>
          </w:p>
        </w:tc>
        <w:tc>
          <w:tcPr>
            <w:tcW w:w="4148" w:type="dxa"/>
            <w:tcBorders>
              <w:top w:val="single" w:sz="4" w:space="0" w:color="auto"/>
              <w:left w:val="single" w:sz="4" w:space="0" w:color="auto"/>
              <w:bottom w:val="single" w:sz="4" w:space="0" w:color="auto"/>
              <w:right w:val="single" w:sz="4" w:space="0" w:color="auto"/>
            </w:tcBorders>
          </w:tcPr>
          <w:p w14:paraId="6866675F" w14:textId="77777777" w:rsidR="00112B28" w:rsidRPr="002C22E6" w:rsidRDefault="00112B28" w:rsidP="00D44A07">
            <w:pPr>
              <w:rPr>
                <w:rFonts w:ascii="Arial" w:eastAsia="Times New Roman" w:hAnsi="Arial" w:cs="Arial"/>
                <w:sz w:val="20"/>
                <w:szCs w:val="20"/>
              </w:rPr>
            </w:pPr>
            <w:r>
              <w:rPr>
                <w:rFonts w:ascii="Arial" w:eastAsia="Times New Roman" w:hAnsi="Arial" w:cs="Arial"/>
                <w:sz w:val="20"/>
                <w:szCs w:val="20"/>
              </w:rPr>
              <w:t xml:space="preserve">Prescribed fire burns many small live trees, as well as some of dead wood and forest floor. </w:t>
            </w:r>
          </w:p>
        </w:tc>
      </w:tr>
    </w:tbl>
    <w:p w14:paraId="0E211808" w14:textId="77777777" w:rsidR="00112B28" w:rsidRDefault="00112B28" w:rsidP="00112B28"/>
    <w:p w14:paraId="5C09F2B3" w14:textId="77777777" w:rsidR="00D53842" w:rsidRDefault="00D53842" w:rsidP="00112B28"/>
    <w:p w14:paraId="04B09BE4" w14:textId="77777777" w:rsidR="00D53842" w:rsidRDefault="00D53842" w:rsidP="00112B28"/>
    <w:p w14:paraId="06592BA9" w14:textId="77777777" w:rsidR="00D53842" w:rsidRDefault="00D53842" w:rsidP="00112B28"/>
    <w:p w14:paraId="54B562B5" w14:textId="77777777" w:rsidR="00A10D9E" w:rsidRDefault="00A10D9E" w:rsidP="00112B28"/>
    <w:p w14:paraId="27023CEE" w14:textId="77777777" w:rsidR="00924C04" w:rsidRDefault="00924C04" w:rsidP="00112B28"/>
    <w:p w14:paraId="25EC9DDB" w14:textId="77777777" w:rsidR="00D53842" w:rsidRDefault="00D53842" w:rsidP="00112B28"/>
    <w:p w14:paraId="0E4660A1" w14:textId="5FD3B41E" w:rsidR="004E7EE9" w:rsidRDefault="00112B28" w:rsidP="00FF7D74">
      <w:r>
        <w:lastRenderedPageBreak/>
        <w:t xml:space="preserve">Table </w:t>
      </w:r>
      <w:r w:rsidR="007B0CC3">
        <w:t>4: Estimate allocation of carbon to different pools from treatments</w:t>
      </w: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810"/>
        <w:gridCol w:w="810"/>
        <w:gridCol w:w="720"/>
        <w:gridCol w:w="1060"/>
        <w:gridCol w:w="1048"/>
        <w:gridCol w:w="1132"/>
      </w:tblGrid>
      <w:tr w:rsidR="008E5137" w:rsidRPr="004E7EE9" w14:paraId="628D4628" w14:textId="77777777" w:rsidTr="008E5137">
        <w:trPr>
          <w:trHeight w:val="600"/>
        </w:trPr>
        <w:tc>
          <w:tcPr>
            <w:tcW w:w="1980" w:type="dxa"/>
            <w:shd w:val="clear" w:color="auto" w:fill="auto"/>
            <w:vAlign w:val="bottom"/>
            <w:hideMark/>
          </w:tcPr>
          <w:p w14:paraId="0ACD1F49" w14:textId="77777777" w:rsidR="008E5137" w:rsidRPr="004E7EE9" w:rsidRDefault="008E5137" w:rsidP="004E7EE9">
            <w:pPr>
              <w:rPr>
                <w:rFonts w:ascii="Calibri" w:eastAsia="Times New Roman" w:hAnsi="Calibri" w:cs="Times New Roman"/>
                <w:color w:val="000000"/>
                <w:sz w:val="20"/>
                <w:szCs w:val="20"/>
              </w:rPr>
            </w:pPr>
          </w:p>
        </w:tc>
        <w:tc>
          <w:tcPr>
            <w:tcW w:w="810" w:type="dxa"/>
            <w:shd w:val="clear" w:color="auto" w:fill="auto"/>
            <w:vAlign w:val="bottom"/>
            <w:hideMark/>
          </w:tcPr>
          <w:p w14:paraId="7A35E6FE" w14:textId="1D5697FF" w:rsidR="008E5137" w:rsidRPr="004E7EE9" w:rsidRDefault="008E5137" w:rsidP="00E11C09">
            <w:pPr>
              <w:rPr>
                <w:rFonts w:ascii="Calibri" w:eastAsia="Times New Roman" w:hAnsi="Calibri" w:cs="Times New Roman"/>
                <w:color w:val="006100"/>
                <w:sz w:val="20"/>
                <w:szCs w:val="20"/>
              </w:rPr>
            </w:pPr>
            <w:r w:rsidRPr="004E7EE9">
              <w:rPr>
                <w:rFonts w:ascii="Calibri" w:eastAsia="Times New Roman" w:hAnsi="Calibri" w:cs="Times New Roman"/>
                <w:color w:val="006100"/>
                <w:sz w:val="20"/>
                <w:szCs w:val="20"/>
              </w:rPr>
              <w:t xml:space="preserve">No </w:t>
            </w:r>
            <w:proofErr w:type="spellStart"/>
            <w:r w:rsidRPr="004E7EE9">
              <w:rPr>
                <w:rFonts w:ascii="Calibri" w:eastAsia="Times New Roman" w:hAnsi="Calibri" w:cs="Times New Roman"/>
                <w:color w:val="006100"/>
                <w:sz w:val="20"/>
                <w:szCs w:val="20"/>
              </w:rPr>
              <w:t>t</w:t>
            </w:r>
            <w:r>
              <w:rPr>
                <w:rFonts w:ascii="Calibri" w:eastAsia="Times New Roman" w:hAnsi="Calibri" w:cs="Times New Roman"/>
                <w:color w:val="006100"/>
                <w:sz w:val="20"/>
                <w:szCs w:val="20"/>
              </w:rPr>
              <w:t>mt</w:t>
            </w:r>
            <w:proofErr w:type="spellEnd"/>
          </w:p>
        </w:tc>
        <w:tc>
          <w:tcPr>
            <w:tcW w:w="810" w:type="dxa"/>
            <w:shd w:val="clear" w:color="auto" w:fill="auto"/>
            <w:vAlign w:val="bottom"/>
            <w:hideMark/>
          </w:tcPr>
          <w:p w14:paraId="68F22E3D" w14:textId="77777777" w:rsidR="008E5137" w:rsidRPr="004E7EE9" w:rsidRDefault="008E5137" w:rsidP="004E7EE9">
            <w:pPr>
              <w:rPr>
                <w:rFonts w:ascii="Calibri" w:eastAsia="Times New Roman" w:hAnsi="Calibri" w:cs="Times New Roman"/>
                <w:color w:val="006100"/>
                <w:sz w:val="20"/>
                <w:szCs w:val="20"/>
              </w:rPr>
            </w:pPr>
            <w:r w:rsidRPr="004E7EE9">
              <w:rPr>
                <w:rFonts w:ascii="Calibri" w:eastAsia="Times New Roman" w:hAnsi="Calibri" w:cs="Times New Roman"/>
                <w:color w:val="006100"/>
                <w:sz w:val="20"/>
                <w:szCs w:val="20"/>
              </w:rPr>
              <w:t xml:space="preserve">Full Rx burn </w:t>
            </w:r>
          </w:p>
        </w:tc>
        <w:tc>
          <w:tcPr>
            <w:tcW w:w="720" w:type="dxa"/>
            <w:shd w:val="clear" w:color="auto" w:fill="auto"/>
            <w:vAlign w:val="bottom"/>
            <w:hideMark/>
          </w:tcPr>
          <w:p w14:paraId="2DE4B653" w14:textId="77777777" w:rsidR="008E5137" w:rsidRPr="004E7EE9" w:rsidRDefault="008E5137" w:rsidP="004E7EE9">
            <w:pPr>
              <w:rPr>
                <w:rFonts w:ascii="Calibri" w:eastAsia="Times New Roman" w:hAnsi="Calibri" w:cs="Times New Roman"/>
                <w:color w:val="006100"/>
                <w:sz w:val="20"/>
                <w:szCs w:val="20"/>
              </w:rPr>
            </w:pPr>
            <w:r w:rsidRPr="004E7EE9">
              <w:rPr>
                <w:rFonts w:ascii="Calibri" w:eastAsia="Times New Roman" w:hAnsi="Calibri" w:cs="Times New Roman"/>
                <w:color w:val="006100"/>
                <w:sz w:val="20"/>
                <w:szCs w:val="20"/>
              </w:rPr>
              <w:t>Pile burn</w:t>
            </w:r>
          </w:p>
        </w:tc>
        <w:tc>
          <w:tcPr>
            <w:tcW w:w="1060" w:type="dxa"/>
            <w:shd w:val="clear" w:color="auto" w:fill="auto"/>
            <w:vAlign w:val="bottom"/>
            <w:hideMark/>
          </w:tcPr>
          <w:p w14:paraId="3A335D21" w14:textId="77777777" w:rsidR="008E5137" w:rsidRPr="004E7EE9" w:rsidRDefault="008E5137" w:rsidP="004E7EE9">
            <w:pPr>
              <w:rPr>
                <w:rFonts w:ascii="Calibri" w:eastAsia="Times New Roman" w:hAnsi="Calibri" w:cs="Times New Roman"/>
                <w:color w:val="006100"/>
                <w:sz w:val="20"/>
                <w:szCs w:val="20"/>
              </w:rPr>
            </w:pPr>
            <w:r w:rsidRPr="004E7EE9">
              <w:rPr>
                <w:rFonts w:ascii="Calibri" w:eastAsia="Times New Roman" w:hAnsi="Calibri" w:cs="Times New Roman"/>
                <w:color w:val="006100"/>
                <w:sz w:val="20"/>
                <w:szCs w:val="20"/>
              </w:rPr>
              <w:t>Lop, Scatter, and Leave</w:t>
            </w:r>
          </w:p>
        </w:tc>
        <w:tc>
          <w:tcPr>
            <w:tcW w:w="1048" w:type="dxa"/>
            <w:shd w:val="clear" w:color="auto" w:fill="auto"/>
            <w:vAlign w:val="bottom"/>
            <w:hideMark/>
          </w:tcPr>
          <w:p w14:paraId="5F887FB2" w14:textId="77777777" w:rsidR="008E5137" w:rsidRPr="004E7EE9" w:rsidRDefault="008E5137" w:rsidP="004E7EE9">
            <w:pPr>
              <w:rPr>
                <w:rFonts w:ascii="Calibri" w:eastAsia="Times New Roman" w:hAnsi="Calibri" w:cs="Times New Roman"/>
                <w:color w:val="006100"/>
                <w:sz w:val="20"/>
                <w:szCs w:val="20"/>
              </w:rPr>
            </w:pPr>
            <w:r w:rsidRPr="004E7EE9">
              <w:rPr>
                <w:rFonts w:ascii="Calibri" w:eastAsia="Times New Roman" w:hAnsi="Calibri" w:cs="Times New Roman"/>
                <w:color w:val="006100"/>
                <w:sz w:val="20"/>
                <w:szCs w:val="20"/>
              </w:rPr>
              <w:t>Partial Utilization</w:t>
            </w:r>
          </w:p>
        </w:tc>
        <w:tc>
          <w:tcPr>
            <w:tcW w:w="1132" w:type="dxa"/>
            <w:shd w:val="clear" w:color="auto" w:fill="auto"/>
            <w:vAlign w:val="bottom"/>
            <w:hideMark/>
          </w:tcPr>
          <w:p w14:paraId="1297BF29" w14:textId="77777777" w:rsidR="008E5137" w:rsidRPr="004E7EE9" w:rsidRDefault="008E5137" w:rsidP="004E7EE9">
            <w:pPr>
              <w:rPr>
                <w:rFonts w:ascii="Calibri" w:eastAsia="Times New Roman" w:hAnsi="Calibri" w:cs="Times New Roman"/>
                <w:color w:val="006100"/>
                <w:sz w:val="20"/>
                <w:szCs w:val="20"/>
              </w:rPr>
            </w:pPr>
            <w:r w:rsidRPr="004E7EE9">
              <w:rPr>
                <w:rFonts w:ascii="Calibri" w:eastAsia="Times New Roman" w:hAnsi="Calibri" w:cs="Times New Roman"/>
                <w:color w:val="006100"/>
                <w:sz w:val="20"/>
                <w:szCs w:val="20"/>
              </w:rPr>
              <w:t>Full Utilization</w:t>
            </w:r>
          </w:p>
        </w:tc>
      </w:tr>
      <w:tr w:rsidR="008E5137" w:rsidRPr="004E7EE9" w14:paraId="0F4CBE86" w14:textId="77777777" w:rsidTr="008E5137">
        <w:trPr>
          <w:trHeight w:val="300"/>
        </w:trPr>
        <w:tc>
          <w:tcPr>
            <w:tcW w:w="1980" w:type="dxa"/>
            <w:shd w:val="clear" w:color="auto" w:fill="auto"/>
            <w:noWrap/>
            <w:vAlign w:val="bottom"/>
            <w:hideMark/>
          </w:tcPr>
          <w:p w14:paraId="60C96A8F" w14:textId="77777777" w:rsidR="008E5137" w:rsidRPr="004E7EE9" w:rsidRDefault="008E5137" w:rsidP="004E7EE9">
            <w:pPr>
              <w:rPr>
                <w:rFonts w:ascii="Calibri" w:eastAsia="Times New Roman" w:hAnsi="Calibri" w:cs="Times New Roman"/>
                <w:color w:val="006100"/>
                <w:sz w:val="20"/>
                <w:szCs w:val="20"/>
              </w:rPr>
            </w:pPr>
            <w:r w:rsidRPr="004E7EE9">
              <w:rPr>
                <w:rFonts w:ascii="Calibri" w:eastAsia="Times New Roman" w:hAnsi="Calibri" w:cs="Times New Roman"/>
                <w:color w:val="006100"/>
                <w:sz w:val="20"/>
                <w:szCs w:val="20"/>
              </w:rPr>
              <w:t xml:space="preserve">live tree to </w:t>
            </w:r>
            <w:proofErr w:type="spellStart"/>
            <w:r w:rsidRPr="004E7EE9">
              <w:rPr>
                <w:rFonts w:ascii="Calibri" w:eastAsia="Times New Roman" w:hAnsi="Calibri" w:cs="Times New Roman"/>
                <w:color w:val="006100"/>
                <w:sz w:val="20"/>
                <w:szCs w:val="20"/>
              </w:rPr>
              <w:t>sawlogs</w:t>
            </w:r>
            <w:proofErr w:type="spellEnd"/>
          </w:p>
        </w:tc>
        <w:tc>
          <w:tcPr>
            <w:tcW w:w="810" w:type="dxa"/>
            <w:shd w:val="clear" w:color="auto" w:fill="auto"/>
            <w:noWrap/>
            <w:vAlign w:val="bottom"/>
            <w:hideMark/>
          </w:tcPr>
          <w:p w14:paraId="2A09DDB9" w14:textId="77777777" w:rsidR="008E5137" w:rsidRPr="004E7EE9" w:rsidRDefault="008E5137" w:rsidP="004E7EE9">
            <w:pPr>
              <w:jc w:val="center"/>
              <w:rPr>
                <w:rFonts w:ascii="Calibri" w:eastAsia="Times New Roman" w:hAnsi="Calibri" w:cs="Times New Roman"/>
                <w:color w:val="006100"/>
                <w:sz w:val="20"/>
                <w:szCs w:val="20"/>
              </w:rPr>
            </w:pPr>
            <w:r w:rsidRPr="004E7EE9">
              <w:rPr>
                <w:rFonts w:ascii="Calibri" w:eastAsia="Times New Roman" w:hAnsi="Calibri" w:cs="Times New Roman"/>
                <w:color w:val="006100"/>
                <w:sz w:val="20"/>
                <w:szCs w:val="20"/>
              </w:rPr>
              <w:t>0%</w:t>
            </w:r>
          </w:p>
        </w:tc>
        <w:tc>
          <w:tcPr>
            <w:tcW w:w="810" w:type="dxa"/>
            <w:shd w:val="clear" w:color="auto" w:fill="auto"/>
            <w:noWrap/>
            <w:vAlign w:val="bottom"/>
            <w:hideMark/>
          </w:tcPr>
          <w:p w14:paraId="265E2565" w14:textId="77777777" w:rsidR="008E5137" w:rsidRPr="004E7EE9" w:rsidRDefault="008E5137" w:rsidP="004E7EE9">
            <w:pPr>
              <w:jc w:val="center"/>
              <w:rPr>
                <w:rFonts w:ascii="Calibri" w:eastAsia="Times New Roman" w:hAnsi="Calibri" w:cs="Times New Roman"/>
                <w:color w:val="006100"/>
                <w:sz w:val="20"/>
                <w:szCs w:val="20"/>
              </w:rPr>
            </w:pPr>
            <w:r w:rsidRPr="004E7EE9">
              <w:rPr>
                <w:rFonts w:ascii="Calibri" w:eastAsia="Times New Roman" w:hAnsi="Calibri" w:cs="Times New Roman"/>
                <w:color w:val="006100"/>
                <w:sz w:val="20"/>
                <w:szCs w:val="20"/>
              </w:rPr>
              <w:t>0%</w:t>
            </w:r>
          </w:p>
        </w:tc>
        <w:tc>
          <w:tcPr>
            <w:tcW w:w="720" w:type="dxa"/>
            <w:shd w:val="clear" w:color="auto" w:fill="auto"/>
            <w:noWrap/>
            <w:vAlign w:val="bottom"/>
            <w:hideMark/>
          </w:tcPr>
          <w:p w14:paraId="04CD527C" w14:textId="77777777" w:rsidR="008E5137" w:rsidRPr="004E7EE9" w:rsidRDefault="008E5137" w:rsidP="004E7EE9">
            <w:pPr>
              <w:jc w:val="center"/>
              <w:rPr>
                <w:rFonts w:ascii="Calibri" w:eastAsia="Times New Roman" w:hAnsi="Calibri" w:cs="Times New Roman"/>
                <w:color w:val="006100"/>
                <w:sz w:val="20"/>
                <w:szCs w:val="20"/>
              </w:rPr>
            </w:pPr>
            <w:r w:rsidRPr="004E7EE9">
              <w:rPr>
                <w:rFonts w:ascii="Calibri" w:eastAsia="Times New Roman" w:hAnsi="Calibri" w:cs="Times New Roman"/>
                <w:color w:val="006100"/>
                <w:sz w:val="20"/>
                <w:szCs w:val="20"/>
              </w:rPr>
              <w:t>0%</w:t>
            </w:r>
          </w:p>
        </w:tc>
        <w:tc>
          <w:tcPr>
            <w:tcW w:w="1060" w:type="dxa"/>
            <w:shd w:val="clear" w:color="auto" w:fill="auto"/>
            <w:noWrap/>
            <w:vAlign w:val="bottom"/>
            <w:hideMark/>
          </w:tcPr>
          <w:p w14:paraId="53E21AC4" w14:textId="77777777" w:rsidR="008E5137" w:rsidRPr="004E7EE9" w:rsidRDefault="008E5137" w:rsidP="004E7EE9">
            <w:pPr>
              <w:jc w:val="center"/>
              <w:rPr>
                <w:rFonts w:ascii="Calibri" w:eastAsia="Times New Roman" w:hAnsi="Calibri" w:cs="Times New Roman"/>
                <w:color w:val="006100"/>
                <w:sz w:val="20"/>
                <w:szCs w:val="20"/>
              </w:rPr>
            </w:pPr>
            <w:r w:rsidRPr="004E7EE9">
              <w:rPr>
                <w:rFonts w:ascii="Calibri" w:eastAsia="Times New Roman" w:hAnsi="Calibri" w:cs="Times New Roman"/>
                <w:color w:val="006100"/>
                <w:sz w:val="20"/>
                <w:szCs w:val="20"/>
              </w:rPr>
              <w:t>0%</w:t>
            </w:r>
          </w:p>
        </w:tc>
        <w:tc>
          <w:tcPr>
            <w:tcW w:w="1048" w:type="dxa"/>
            <w:shd w:val="clear" w:color="auto" w:fill="auto"/>
            <w:noWrap/>
            <w:vAlign w:val="bottom"/>
            <w:hideMark/>
          </w:tcPr>
          <w:p w14:paraId="2429A221" w14:textId="77777777" w:rsidR="008E5137" w:rsidRPr="004E7EE9" w:rsidRDefault="008E5137" w:rsidP="004E7EE9">
            <w:pPr>
              <w:jc w:val="center"/>
              <w:rPr>
                <w:rFonts w:ascii="Calibri" w:eastAsia="Times New Roman" w:hAnsi="Calibri" w:cs="Times New Roman"/>
                <w:color w:val="006100"/>
                <w:sz w:val="20"/>
                <w:szCs w:val="20"/>
              </w:rPr>
            </w:pPr>
            <w:r w:rsidRPr="004E7EE9">
              <w:rPr>
                <w:rFonts w:ascii="Calibri" w:eastAsia="Times New Roman" w:hAnsi="Calibri" w:cs="Times New Roman"/>
                <w:color w:val="006100"/>
                <w:sz w:val="20"/>
                <w:szCs w:val="20"/>
              </w:rPr>
              <w:t>15%</w:t>
            </w:r>
          </w:p>
        </w:tc>
        <w:tc>
          <w:tcPr>
            <w:tcW w:w="1132" w:type="dxa"/>
            <w:shd w:val="clear" w:color="auto" w:fill="auto"/>
            <w:noWrap/>
            <w:vAlign w:val="bottom"/>
            <w:hideMark/>
          </w:tcPr>
          <w:p w14:paraId="6C3D860E" w14:textId="77777777" w:rsidR="008E5137" w:rsidRPr="004E7EE9" w:rsidRDefault="008E5137" w:rsidP="004E7EE9">
            <w:pPr>
              <w:jc w:val="center"/>
              <w:rPr>
                <w:rFonts w:ascii="Calibri" w:eastAsia="Times New Roman" w:hAnsi="Calibri" w:cs="Times New Roman"/>
                <w:color w:val="006100"/>
                <w:sz w:val="20"/>
                <w:szCs w:val="20"/>
              </w:rPr>
            </w:pPr>
            <w:r w:rsidRPr="004E7EE9">
              <w:rPr>
                <w:rFonts w:ascii="Calibri" w:eastAsia="Times New Roman" w:hAnsi="Calibri" w:cs="Times New Roman"/>
                <w:color w:val="006100"/>
                <w:sz w:val="20"/>
                <w:szCs w:val="20"/>
              </w:rPr>
              <w:t>30%</w:t>
            </w:r>
          </w:p>
        </w:tc>
      </w:tr>
      <w:tr w:rsidR="008E5137" w:rsidRPr="004E7EE9" w14:paraId="0F2F3C10" w14:textId="77777777" w:rsidTr="008E5137">
        <w:trPr>
          <w:trHeight w:val="300"/>
        </w:trPr>
        <w:tc>
          <w:tcPr>
            <w:tcW w:w="1980" w:type="dxa"/>
            <w:shd w:val="clear" w:color="auto" w:fill="auto"/>
            <w:noWrap/>
            <w:vAlign w:val="bottom"/>
            <w:hideMark/>
          </w:tcPr>
          <w:p w14:paraId="0E35E2D7" w14:textId="77777777" w:rsidR="008E5137" w:rsidRPr="004E7EE9" w:rsidRDefault="008E5137" w:rsidP="004E7EE9">
            <w:pPr>
              <w:rPr>
                <w:rFonts w:ascii="Calibri" w:eastAsia="Times New Roman" w:hAnsi="Calibri" w:cs="Times New Roman"/>
                <w:color w:val="006100"/>
                <w:sz w:val="20"/>
                <w:szCs w:val="20"/>
              </w:rPr>
            </w:pPr>
            <w:r w:rsidRPr="004E7EE9">
              <w:rPr>
                <w:rFonts w:ascii="Calibri" w:eastAsia="Times New Roman" w:hAnsi="Calibri" w:cs="Times New Roman"/>
                <w:color w:val="006100"/>
                <w:sz w:val="20"/>
                <w:szCs w:val="20"/>
              </w:rPr>
              <w:t>live tree to chips</w:t>
            </w:r>
          </w:p>
        </w:tc>
        <w:tc>
          <w:tcPr>
            <w:tcW w:w="810" w:type="dxa"/>
            <w:shd w:val="clear" w:color="auto" w:fill="auto"/>
            <w:noWrap/>
            <w:vAlign w:val="bottom"/>
            <w:hideMark/>
          </w:tcPr>
          <w:p w14:paraId="444C0282" w14:textId="77777777" w:rsidR="008E5137" w:rsidRPr="004E7EE9" w:rsidRDefault="008E5137" w:rsidP="004E7EE9">
            <w:pPr>
              <w:jc w:val="center"/>
              <w:rPr>
                <w:rFonts w:ascii="Calibri" w:eastAsia="Times New Roman" w:hAnsi="Calibri" w:cs="Times New Roman"/>
                <w:color w:val="006100"/>
                <w:sz w:val="20"/>
                <w:szCs w:val="20"/>
              </w:rPr>
            </w:pPr>
            <w:r w:rsidRPr="004E7EE9">
              <w:rPr>
                <w:rFonts w:ascii="Calibri" w:eastAsia="Times New Roman" w:hAnsi="Calibri" w:cs="Times New Roman"/>
                <w:color w:val="006100"/>
                <w:sz w:val="20"/>
                <w:szCs w:val="20"/>
              </w:rPr>
              <w:t>0%</w:t>
            </w:r>
          </w:p>
        </w:tc>
        <w:tc>
          <w:tcPr>
            <w:tcW w:w="810" w:type="dxa"/>
            <w:shd w:val="clear" w:color="auto" w:fill="auto"/>
            <w:noWrap/>
            <w:vAlign w:val="bottom"/>
            <w:hideMark/>
          </w:tcPr>
          <w:p w14:paraId="7F87FA57" w14:textId="77777777" w:rsidR="008E5137" w:rsidRPr="004E7EE9" w:rsidRDefault="008E5137" w:rsidP="004E7EE9">
            <w:pPr>
              <w:jc w:val="center"/>
              <w:rPr>
                <w:rFonts w:ascii="Calibri" w:eastAsia="Times New Roman" w:hAnsi="Calibri" w:cs="Times New Roman"/>
                <w:color w:val="006100"/>
                <w:sz w:val="20"/>
                <w:szCs w:val="20"/>
              </w:rPr>
            </w:pPr>
            <w:r w:rsidRPr="004E7EE9">
              <w:rPr>
                <w:rFonts w:ascii="Calibri" w:eastAsia="Times New Roman" w:hAnsi="Calibri" w:cs="Times New Roman"/>
                <w:color w:val="006100"/>
                <w:sz w:val="20"/>
                <w:szCs w:val="20"/>
              </w:rPr>
              <w:t>0%</w:t>
            </w:r>
          </w:p>
        </w:tc>
        <w:tc>
          <w:tcPr>
            <w:tcW w:w="720" w:type="dxa"/>
            <w:shd w:val="clear" w:color="auto" w:fill="auto"/>
            <w:noWrap/>
            <w:vAlign w:val="bottom"/>
            <w:hideMark/>
          </w:tcPr>
          <w:p w14:paraId="1E9BE733" w14:textId="77777777" w:rsidR="008E5137" w:rsidRPr="004E7EE9" w:rsidRDefault="008E5137" w:rsidP="004E7EE9">
            <w:pPr>
              <w:jc w:val="center"/>
              <w:rPr>
                <w:rFonts w:ascii="Calibri" w:eastAsia="Times New Roman" w:hAnsi="Calibri" w:cs="Times New Roman"/>
                <w:color w:val="006100"/>
                <w:sz w:val="20"/>
                <w:szCs w:val="20"/>
              </w:rPr>
            </w:pPr>
            <w:r w:rsidRPr="004E7EE9">
              <w:rPr>
                <w:rFonts w:ascii="Calibri" w:eastAsia="Times New Roman" w:hAnsi="Calibri" w:cs="Times New Roman"/>
                <w:color w:val="006100"/>
                <w:sz w:val="20"/>
                <w:szCs w:val="20"/>
              </w:rPr>
              <w:t>0%</w:t>
            </w:r>
          </w:p>
        </w:tc>
        <w:tc>
          <w:tcPr>
            <w:tcW w:w="1060" w:type="dxa"/>
            <w:shd w:val="clear" w:color="auto" w:fill="auto"/>
            <w:noWrap/>
            <w:vAlign w:val="bottom"/>
            <w:hideMark/>
          </w:tcPr>
          <w:p w14:paraId="5E015249" w14:textId="77777777" w:rsidR="008E5137" w:rsidRPr="004E7EE9" w:rsidRDefault="008E5137" w:rsidP="004E7EE9">
            <w:pPr>
              <w:jc w:val="center"/>
              <w:rPr>
                <w:rFonts w:ascii="Calibri" w:eastAsia="Times New Roman" w:hAnsi="Calibri" w:cs="Times New Roman"/>
                <w:color w:val="006100"/>
                <w:sz w:val="20"/>
                <w:szCs w:val="20"/>
              </w:rPr>
            </w:pPr>
            <w:r w:rsidRPr="004E7EE9">
              <w:rPr>
                <w:rFonts w:ascii="Calibri" w:eastAsia="Times New Roman" w:hAnsi="Calibri" w:cs="Times New Roman"/>
                <w:color w:val="006100"/>
                <w:sz w:val="20"/>
                <w:szCs w:val="20"/>
              </w:rPr>
              <w:t>0%</w:t>
            </w:r>
          </w:p>
        </w:tc>
        <w:tc>
          <w:tcPr>
            <w:tcW w:w="1048" w:type="dxa"/>
            <w:shd w:val="clear" w:color="auto" w:fill="auto"/>
            <w:noWrap/>
            <w:vAlign w:val="bottom"/>
            <w:hideMark/>
          </w:tcPr>
          <w:p w14:paraId="73BEB4A6" w14:textId="77777777" w:rsidR="008E5137" w:rsidRPr="004E7EE9" w:rsidRDefault="008E5137" w:rsidP="004E7EE9">
            <w:pPr>
              <w:jc w:val="center"/>
              <w:rPr>
                <w:rFonts w:ascii="Calibri" w:eastAsia="Times New Roman" w:hAnsi="Calibri" w:cs="Times New Roman"/>
                <w:color w:val="006100"/>
                <w:sz w:val="20"/>
                <w:szCs w:val="20"/>
              </w:rPr>
            </w:pPr>
            <w:r w:rsidRPr="004E7EE9">
              <w:rPr>
                <w:rFonts w:ascii="Calibri" w:eastAsia="Times New Roman" w:hAnsi="Calibri" w:cs="Times New Roman"/>
                <w:color w:val="006100"/>
                <w:sz w:val="20"/>
                <w:szCs w:val="20"/>
              </w:rPr>
              <w:t>30%</w:t>
            </w:r>
          </w:p>
        </w:tc>
        <w:tc>
          <w:tcPr>
            <w:tcW w:w="1132" w:type="dxa"/>
            <w:shd w:val="clear" w:color="auto" w:fill="auto"/>
            <w:noWrap/>
            <w:vAlign w:val="bottom"/>
            <w:hideMark/>
          </w:tcPr>
          <w:p w14:paraId="7625475A" w14:textId="77777777" w:rsidR="008E5137" w:rsidRPr="004E7EE9" w:rsidRDefault="008E5137" w:rsidP="004E7EE9">
            <w:pPr>
              <w:jc w:val="center"/>
              <w:rPr>
                <w:rFonts w:ascii="Calibri" w:eastAsia="Times New Roman" w:hAnsi="Calibri" w:cs="Times New Roman"/>
                <w:color w:val="006100"/>
                <w:sz w:val="20"/>
                <w:szCs w:val="20"/>
              </w:rPr>
            </w:pPr>
            <w:r w:rsidRPr="004E7EE9">
              <w:rPr>
                <w:rFonts w:ascii="Calibri" w:eastAsia="Times New Roman" w:hAnsi="Calibri" w:cs="Times New Roman"/>
                <w:color w:val="006100"/>
                <w:sz w:val="20"/>
                <w:szCs w:val="20"/>
              </w:rPr>
              <w:t>60%</w:t>
            </w:r>
          </w:p>
        </w:tc>
      </w:tr>
      <w:tr w:rsidR="008E5137" w:rsidRPr="004E7EE9" w14:paraId="4F7FE0EA" w14:textId="77777777" w:rsidTr="008E5137">
        <w:trPr>
          <w:trHeight w:val="300"/>
        </w:trPr>
        <w:tc>
          <w:tcPr>
            <w:tcW w:w="1980" w:type="dxa"/>
            <w:shd w:val="clear" w:color="auto" w:fill="auto"/>
            <w:noWrap/>
            <w:vAlign w:val="bottom"/>
            <w:hideMark/>
          </w:tcPr>
          <w:p w14:paraId="221FE8BD" w14:textId="77777777" w:rsidR="008E5137" w:rsidRPr="004E7EE9" w:rsidRDefault="008E5137" w:rsidP="004E7EE9">
            <w:pPr>
              <w:rPr>
                <w:rFonts w:ascii="Calibri" w:eastAsia="Times New Roman" w:hAnsi="Calibri" w:cs="Times New Roman"/>
                <w:color w:val="006100"/>
                <w:sz w:val="20"/>
                <w:szCs w:val="20"/>
              </w:rPr>
            </w:pPr>
            <w:r w:rsidRPr="004E7EE9">
              <w:rPr>
                <w:rFonts w:ascii="Calibri" w:eastAsia="Times New Roman" w:hAnsi="Calibri" w:cs="Times New Roman"/>
                <w:color w:val="006100"/>
                <w:sz w:val="20"/>
                <w:szCs w:val="20"/>
              </w:rPr>
              <w:t>live tree to decomposition</w:t>
            </w:r>
          </w:p>
        </w:tc>
        <w:tc>
          <w:tcPr>
            <w:tcW w:w="810" w:type="dxa"/>
            <w:shd w:val="clear" w:color="auto" w:fill="auto"/>
            <w:noWrap/>
            <w:vAlign w:val="bottom"/>
            <w:hideMark/>
          </w:tcPr>
          <w:p w14:paraId="3D30539B" w14:textId="77777777" w:rsidR="008E5137" w:rsidRPr="004E7EE9" w:rsidRDefault="008E5137" w:rsidP="004E7EE9">
            <w:pPr>
              <w:jc w:val="center"/>
              <w:rPr>
                <w:rFonts w:ascii="Calibri" w:eastAsia="Times New Roman" w:hAnsi="Calibri" w:cs="Times New Roman"/>
                <w:color w:val="006100"/>
                <w:sz w:val="20"/>
                <w:szCs w:val="20"/>
              </w:rPr>
            </w:pPr>
            <w:r w:rsidRPr="004E7EE9">
              <w:rPr>
                <w:rFonts w:ascii="Calibri" w:eastAsia="Times New Roman" w:hAnsi="Calibri" w:cs="Times New Roman"/>
                <w:color w:val="006100"/>
                <w:sz w:val="20"/>
                <w:szCs w:val="20"/>
              </w:rPr>
              <w:t>0%</w:t>
            </w:r>
          </w:p>
        </w:tc>
        <w:tc>
          <w:tcPr>
            <w:tcW w:w="810" w:type="dxa"/>
            <w:shd w:val="clear" w:color="auto" w:fill="auto"/>
            <w:noWrap/>
            <w:vAlign w:val="bottom"/>
            <w:hideMark/>
          </w:tcPr>
          <w:p w14:paraId="77A2EF5F" w14:textId="77777777" w:rsidR="008E5137" w:rsidRPr="004E7EE9" w:rsidRDefault="008E5137" w:rsidP="004E7EE9">
            <w:pPr>
              <w:jc w:val="center"/>
              <w:rPr>
                <w:rFonts w:ascii="Calibri" w:eastAsia="Times New Roman" w:hAnsi="Calibri" w:cs="Times New Roman"/>
                <w:color w:val="006100"/>
                <w:sz w:val="20"/>
                <w:szCs w:val="20"/>
              </w:rPr>
            </w:pPr>
            <w:r w:rsidRPr="004E7EE9">
              <w:rPr>
                <w:rFonts w:ascii="Calibri" w:eastAsia="Times New Roman" w:hAnsi="Calibri" w:cs="Times New Roman"/>
                <w:color w:val="006100"/>
                <w:sz w:val="20"/>
                <w:szCs w:val="20"/>
              </w:rPr>
              <w:t>20%</w:t>
            </w:r>
          </w:p>
        </w:tc>
        <w:tc>
          <w:tcPr>
            <w:tcW w:w="720" w:type="dxa"/>
            <w:shd w:val="clear" w:color="auto" w:fill="auto"/>
            <w:noWrap/>
            <w:vAlign w:val="bottom"/>
            <w:hideMark/>
          </w:tcPr>
          <w:p w14:paraId="40C5F917" w14:textId="77777777" w:rsidR="008E5137" w:rsidRPr="004E7EE9" w:rsidRDefault="008E5137" w:rsidP="004E7EE9">
            <w:pPr>
              <w:jc w:val="center"/>
              <w:rPr>
                <w:rFonts w:ascii="Calibri" w:eastAsia="Times New Roman" w:hAnsi="Calibri" w:cs="Times New Roman"/>
                <w:color w:val="006100"/>
                <w:sz w:val="20"/>
                <w:szCs w:val="20"/>
              </w:rPr>
            </w:pPr>
            <w:r w:rsidRPr="004E7EE9">
              <w:rPr>
                <w:rFonts w:ascii="Calibri" w:eastAsia="Times New Roman" w:hAnsi="Calibri" w:cs="Times New Roman"/>
                <w:color w:val="006100"/>
                <w:sz w:val="20"/>
                <w:szCs w:val="20"/>
              </w:rPr>
              <w:t>20%</w:t>
            </w:r>
          </w:p>
        </w:tc>
        <w:tc>
          <w:tcPr>
            <w:tcW w:w="1060" w:type="dxa"/>
            <w:shd w:val="clear" w:color="auto" w:fill="auto"/>
            <w:noWrap/>
            <w:vAlign w:val="bottom"/>
            <w:hideMark/>
          </w:tcPr>
          <w:p w14:paraId="05F1AF37" w14:textId="77777777" w:rsidR="008E5137" w:rsidRPr="004E7EE9" w:rsidRDefault="008E5137" w:rsidP="004E7EE9">
            <w:pPr>
              <w:jc w:val="center"/>
              <w:rPr>
                <w:rFonts w:ascii="Calibri" w:eastAsia="Times New Roman" w:hAnsi="Calibri" w:cs="Times New Roman"/>
                <w:color w:val="006100"/>
                <w:sz w:val="20"/>
                <w:szCs w:val="20"/>
              </w:rPr>
            </w:pPr>
            <w:r w:rsidRPr="004E7EE9">
              <w:rPr>
                <w:rFonts w:ascii="Calibri" w:eastAsia="Times New Roman" w:hAnsi="Calibri" w:cs="Times New Roman"/>
                <w:color w:val="006100"/>
                <w:sz w:val="20"/>
                <w:szCs w:val="20"/>
              </w:rPr>
              <w:t>100%</w:t>
            </w:r>
          </w:p>
        </w:tc>
        <w:tc>
          <w:tcPr>
            <w:tcW w:w="1048" w:type="dxa"/>
            <w:shd w:val="clear" w:color="auto" w:fill="auto"/>
            <w:noWrap/>
            <w:vAlign w:val="bottom"/>
            <w:hideMark/>
          </w:tcPr>
          <w:p w14:paraId="23DB8BE0" w14:textId="77777777" w:rsidR="008E5137" w:rsidRPr="004E7EE9" w:rsidRDefault="008E5137" w:rsidP="004E7EE9">
            <w:pPr>
              <w:jc w:val="center"/>
              <w:rPr>
                <w:rFonts w:ascii="Calibri" w:eastAsia="Times New Roman" w:hAnsi="Calibri" w:cs="Times New Roman"/>
                <w:color w:val="006100"/>
                <w:sz w:val="20"/>
                <w:szCs w:val="20"/>
              </w:rPr>
            </w:pPr>
            <w:r w:rsidRPr="004E7EE9">
              <w:rPr>
                <w:rFonts w:ascii="Calibri" w:eastAsia="Times New Roman" w:hAnsi="Calibri" w:cs="Times New Roman"/>
                <w:color w:val="006100"/>
                <w:sz w:val="20"/>
                <w:szCs w:val="20"/>
              </w:rPr>
              <w:t>50%</w:t>
            </w:r>
          </w:p>
        </w:tc>
        <w:tc>
          <w:tcPr>
            <w:tcW w:w="1132" w:type="dxa"/>
            <w:shd w:val="clear" w:color="auto" w:fill="auto"/>
            <w:noWrap/>
            <w:vAlign w:val="bottom"/>
            <w:hideMark/>
          </w:tcPr>
          <w:p w14:paraId="3891E160" w14:textId="77777777" w:rsidR="008E5137" w:rsidRPr="004E7EE9" w:rsidRDefault="008E5137" w:rsidP="004E7EE9">
            <w:pPr>
              <w:jc w:val="center"/>
              <w:rPr>
                <w:rFonts w:ascii="Calibri" w:eastAsia="Times New Roman" w:hAnsi="Calibri" w:cs="Times New Roman"/>
                <w:color w:val="006100"/>
                <w:sz w:val="20"/>
                <w:szCs w:val="20"/>
              </w:rPr>
            </w:pPr>
            <w:r w:rsidRPr="004E7EE9">
              <w:rPr>
                <w:rFonts w:ascii="Calibri" w:eastAsia="Times New Roman" w:hAnsi="Calibri" w:cs="Times New Roman"/>
                <w:color w:val="006100"/>
                <w:sz w:val="20"/>
                <w:szCs w:val="20"/>
              </w:rPr>
              <w:t>5%</w:t>
            </w:r>
          </w:p>
        </w:tc>
      </w:tr>
      <w:tr w:rsidR="008E5137" w:rsidRPr="004E7EE9" w14:paraId="5B13EC28" w14:textId="77777777" w:rsidTr="008E5137">
        <w:trPr>
          <w:trHeight w:val="280"/>
        </w:trPr>
        <w:tc>
          <w:tcPr>
            <w:tcW w:w="1980" w:type="dxa"/>
            <w:shd w:val="clear" w:color="auto" w:fill="auto"/>
            <w:noWrap/>
            <w:vAlign w:val="bottom"/>
            <w:hideMark/>
          </w:tcPr>
          <w:p w14:paraId="77E43DF5" w14:textId="77777777" w:rsidR="008E5137" w:rsidRPr="004E7EE9" w:rsidRDefault="008E5137" w:rsidP="004E7EE9">
            <w:pPr>
              <w:rPr>
                <w:rFonts w:ascii="Calibri" w:eastAsia="Times New Roman" w:hAnsi="Calibri" w:cs="Times New Roman"/>
                <w:color w:val="006100"/>
                <w:sz w:val="20"/>
                <w:szCs w:val="20"/>
              </w:rPr>
            </w:pPr>
            <w:r w:rsidRPr="004E7EE9">
              <w:rPr>
                <w:rFonts w:ascii="Calibri" w:eastAsia="Times New Roman" w:hAnsi="Calibri" w:cs="Times New Roman"/>
                <w:color w:val="006100"/>
                <w:sz w:val="20"/>
                <w:szCs w:val="20"/>
              </w:rPr>
              <w:t>live tree burned</w:t>
            </w:r>
          </w:p>
        </w:tc>
        <w:tc>
          <w:tcPr>
            <w:tcW w:w="810" w:type="dxa"/>
            <w:shd w:val="clear" w:color="auto" w:fill="auto"/>
            <w:noWrap/>
            <w:vAlign w:val="bottom"/>
            <w:hideMark/>
          </w:tcPr>
          <w:p w14:paraId="0A29CEC0" w14:textId="77777777" w:rsidR="008E5137" w:rsidRPr="004E7EE9" w:rsidRDefault="008E5137" w:rsidP="004E7EE9">
            <w:pPr>
              <w:jc w:val="center"/>
              <w:rPr>
                <w:rFonts w:ascii="Calibri" w:eastAsia="Times New Roman" w:hAnsi="Calibri" w:cs="Times New Roman"/>
                <w:color w:val="006100"/>
                <w:sz w:val="20"/>
                <w:szCs w:val="20"/>
              </w:rPr>
            </w:pPr>
            <w:r w:rsidRPr="004E7EE9">
              <w:rPr>
                <w:rFonts w:ascii="Calibri" w:eastAsia="Times New Roman" w:hAnsi="Calibri" w:cs="Times New Roman"/>
                <w:color w:val="006100"/>
                <w:sz w:val="20"/>
                <w:szCs w:val="20"/>
              </w:rPr>
              <w:t>0%</w:t>
            </w:r>
          </w:p>
        </w:tc>
        <w:tc>
          <w:tcPr>
            <w:tcW w:w="810" w:type="dxa"/>
            <w:shd w:val="clear" w:color="auto" w:fill="auto"/>
            <w:noWrap/>
            <w:vAlign w:val="bottom"/>
            <w:hideMark/>
          </w:tcPr>
          <w:p w14:paraId="2DB716B5" w14:textId="77777777" w:rsidR="008E5137" w:rsidRPr="004E7EE9" w:rsidRDefault="008E5137" w:rsidP="004E7EE9">
            <w:pPr>
              <w:jc w:val="center"/>
              <w:rPr>
                <w:rFonts w:ascii="Calibri" w:eastAsia="Times New Roman" w:hAnsi="Calibri" w:cs="Times New Roman"/>
                <w:color w:val="006100"/>
                <w:sz w:val="20"/>
                <w:szCs w:val="20"/>
              </w:rPr>
            </w:pPr>
            <w:r w:rsidRPr="004E7EE9">
              <w:rPr>
                <w:rFonts w:ascii="Calibri" w:eastAsia="Times New Roman" w:hAnsi="Calibri" w:cs="Times New Roman"/>
                <w:color w:val="006100"/>
                <w:sz w:val="20"/>
                <w:szCs w:val="20"/>
              </w:rPr>
              <w:t>80%</w:t>
            </w:r>
          </w:p>
        </w:tc>
        <w:tc>
          <w:tcPr>
            <w:tcW w:w="720" w:type="dxa"/>
            <w:shd w:val="clear" w:color="auto" w:fill="auto"/>
            <w:noWrap/>
            <w:vAlign w:val="bottom"/>
            <w:hideMark/>
          </w:tcPr>
          <w:p w14:paraId="63EED92C" w14:textId="77777777" w:rsidR="008E5137" w:rsidRPr="004E7EE9" w:rsidRDefault="008E5137" w:rsidP="004E7EE9">
            <w:pPr>
              <w:jc w:val="center"/>
              <w:rPr>
                <w:rFonts w:ascii="Calibri" w:eastAsia="Times New Roman" w:hAnsi="Calibri" w:cs="Times New Roman"/>
                <w:color w:val="006100"/>
                <w:sz w:val="20"/>
                <w:szCs w:val="20"/>
              </w:rPr>
            </w:pPr>
            <w:r w:rsidRPr="004E7EE9">
              <w:rPr>
                <w:rFonts w:ascii="Calibri" w:eastAsia="Times New Roman" w:hAnsi="Calibri" w:cs="Times New Roman"/>
                <w:color w:val="006100"/>
                <w:sz w:val="20"/>
                <w:szCs w:val="20"/>
              </w:rPr>
              <w:t>80%</w:t>
            </w:r>
          </w:p>
        </w:tc>
        <w:tc>
          <w:tcPr>
            <w:tcW w:w="1060" w:type="dxa"/>
            <w:shd w:val="clear" w:color="auto" w:fill="auto"/>
            <w:noWrap/>
            <w:vAlign w:val="bottom"/>
            <w:hideMark/>
          </w:tcPr>
          <w:p w14:paraId="5D0E53E6" w14:textId="77777777" w:rsidR="008E5137" w:rsidRPr="004E7EE9" w:rsidRDefault="008E5137" w:rsidP="004E7EE9">
            <w:pPr>
              <w:jc w:val="center"/>
              <w:rPr>
                <w:rFonts w:ascii="Calibri" w:eastAsia="Times New Roman" w:hAnsi="Calibri" w:cs="Times New Roman"/>
                <w:color w:val="006100"/>
                <w:sz w:val="20"/>
                <w:szCs w:val="20"/>
              </w:rPr>
            </w:pPr>
            <w:r w:rsidRPr="004E7EE9">
              <w:rPr>
                <w:rFonts w:ascii="Calibri" w:eastAsia="Times New Roman" w:hAnsi="Calibri" w:cs="Times New Roman"/>
                <w:color w:val="006100"/>
                <w:sz w:val="20"/>
                <w:szCs w:val="20"/>
              </w:rPr>
              <w:t>0%</w:t>
            </w:r>
          </w:p>
        </w:tc>
        <w:tc>
          <w:tcPr>
            <w:tcW w:w="1048" w:type="dxa"/>
            <w:shd w:val="clear" w:color="auto" w:fill="auto"/>
            <w:noWrap/>
            <w:vAlign w:val="bottom"/>
            <w:hideMark/>
          </w:tcPr>
          <w:p w14:paraId="09B577B9" w14:textId="77777777" w:rsidR="008E5137" w:rsidRPr="004E7EE9" w:rsidRDefault="008E5137" w:rsidP="004E7EE9">
            <w:pPr>
              <w:jc w:val="center"/>
              <w:rPr>
                <w:rFonts w:ascii="Calibri" w:eastAsia="Times New Roman" w:hAnsi="Calibri" w:cs="Times New Roman"/>
                <w:color w:val="006100"/>
                <w:sz w:val="20"/>
                <w:szCs w:val="20"/>
              </w:rPr>
            </w:pPr>
            <w:r w:rsidRPr="004E7EE9">
              <w:rPr>
                <w:rFonts w:ascii="Calibri" w:eastAsia="Times New Roman" w:hAnsi="Calibri" w:cs="Times New Roman"/>
                <w:color w:val="006100"/>
                <w:sz w:val="20"/>
                <w:szCs w:val="20"/>
              </w:rPr>
              <w:t>5%</w:t>
            </w:r>
          </w:p>
        </w:tc>
        <w:tc>
          <w:tcPr>
            <w:tcW w:w="1132" w:type="dxa"/>
            <w:shd w:val="clear" w:color="auto" w:fill="auto"/>
            <w:noWrap/>
            <w:vAlign w:val="bottom"/>
            <w:hideMark/>
          </w:tcPr>
          <w:p w14:paraId="11BEAD88" w14:textId="77777777" w:rsidR="008E5137" w:rsidRPr="004E7EE9" w:rsidRDefault="008E5137" w:rsidP="004E7EE9">
            <w:pPr>
              <w:jc w:val="center"/>
              <w:rPr>
                <w:rFonts w:ascii="Calibri" w:eastAsia="Times New Roman" w:hAnsi="Calibri" w:cs="Times New Roman"/>
                <w:color w:val="006100"/>
                <w:sz w:val="20"/>
                <w:szCs w:val="20"/>
              </w:rPr>
            </w:pPr>
            <w:r w:rsidRPr="004E7EE9">
              <w:rPr>
                <w:rFonts w:ascii="Calibri" w:eastAsia="Times New Roman" w:hAnsi="Calibri" w:cs="Times New Roman"/>
                <w:color w:val="006100"/>
                <w:sz w:val="20"/>
                <w:szCs w:val="20"/>
              </w:rPr>
              <w:t>5%</w:t>
            </w:r>
          </w:p>
        </w:tc>
      </w:tr>
      <w:tr w:rsidR="008E5137" w:rsidRPr="004E7EE9" w14:paraId="378E4D18" w14:textId="77777777" w:rsidTr="008E5137">
        <w:trPr>
          <w:trHeight w:val="280"/>
        </w:trPr>
        <w:tc>
          <w:tcPr>
            <w:tcW w:w="1980" w:type="dxa"/>
            <w:shd w:val="clear" w:color="auto" w:fill="auto"/>
            <w:noWrap/>
            <w:vAlign w:val="bottom"/>
            <w:hideMark/>
          </w:tcPr>
          <w:p w14:paraId="2657ABC0" w14:textId="77777777" w:rsidR="008E5137" w:rsidRPr="004E7EE9" w:rsidRDefault="008E5137" w:rsidP="004E7EE9">
            <w:pPr>
              <w:rPr>
                <w:rFonts w:ascii="Calibri" w:eastAsia="Times New Roman" w:hAnsi="Calibri" w:cs="Times New Roman"/>
                <w:color w:val="006100"/>
                <w:sz w:val="20"/>
                <w:szCs w:val="20"/>
              </w:rPr>
            </w:pPr>
          </w:p>
        </w:tc>
        <w:tc>
          <w:tcPr>
            <w:tcW w:w="810" w:type="dxa"/>
            <w:shd w:val="clear" w:color="auto" w:fill="auto"/>
            <w:noWrap/>
            <w:vAlign w:val="bottom"/>
            <w:hideMark/>
          </w:tcPr>
          <w:p w14:paraId="0C64A9D6" w14:textId="77777777" w:rsidR="008E5137" w:rsidRPr="004E7EE9" w:rsidRDefault="008E5137" w:rsidP="004E7EE9">
            <w:pPr>
              <w:rPr>
                <w:rFonts w:ascii="Calibri" w:eastAsia="Times New Roman" w:hAnsi="Calibri" w:cs="Times New Roman"/>
                <w:color w:val="006100"/>
                <w:sz w:val="20"/>
                <w:szCs w:val="20"/>
              </w:rPr>
            </w:pPr>
          </w:p>
        </w:tc>
        <w:tc>
          <w:tcPr>
            <w:tcW w:w="810" w:type="dxa"/>
            <w:shd w:val="clear" w:color="auto" w:fill="auto"/>
            <w:noWrap/>
            <w:vAlign w:val="bottom"/>
            <w:hideMark/>
          </w:tcPr>
          <w:p w14:paraId="451C18B8" w14:textId="77777777" w:rsidR="008E5137" w:rsidRPr="004E7EE9" w:rsidRDefault="008E5137" w:rsidP="004E7EE9">
            <w:pPr>
              <w:rPr>
                <w:rFonts w:ascii="Calibri" w:eastAsia="Times New Roman" w:hAnsi="Calibri" w:cs="Times New Roman"/>
                <w:color w:val="006100"/>
                <w:sz w:val="20"/>
                <w:szCs w:val="20"/>
              </w:rPr>
            </w:pPr>
          </w:p>
        </w:tc>
        <w:tc>
          <w:tcPr>
            <w:tcW w:w="720" w:type="dxa"/>
            <w:shd w:val="clear" w:color="auto" w:fill="auto"/>
            <w:noWrap/>
            <w:vAlign w:val="bottom"/>
            <w:hideMark/>
          </w:tcPr>
          <w:p w14:paraId="61ED2462" w14:textId="77777777" w:rsidR="008E5137" w:rsidRPr="004E7EE9" w:rsidRDefault="008E5137" w:rsidP="004E7EE9">
            <w:pPr>
              <w:rPr>
                <w:rFonts w:ascii="Calibri" w:eastAsia="Times New Roman" w:hAnsi="Calibri" w:cs="Times New Roman"/>
                <w:color w:val="006100"/>
                <w:sz w:val="20"/>
                <w:szCs w:val="20"/>
              </w:rPr>
            </w:pPr>
          </w:p>
        </w:tc>
        <w:tc>
          <w:tcPr>
            <w:tcW w:w="1060" w:type="dxa"/>
            <w:shd w:val="clear" w:color="auto" w:fill="auto"/>
            <w:noWrap/>
            <w:vAlign w:val="bottom"/>
            <w:hideMark/>
          </w:tcPr>
          <w:p w14:paraId="61999FC3" w14:textId="77777777" w:rsidR="008E5137" w:rsidRPr="004E7EE9" w:rsidRDefault="008E5137" w:rsidP="004E7EE9">
            <w:pPr>
              <w:rPr>
                <w:rFonts w:ascii="Calibri" w:eastAsia="Times New Roman" w:hAnsi="Calibri" w:cs="Times New Roman"/>
                <w:color w:val="006100"/>
                <w:sz w:val="20"/>
                <w:szCs w:val="20"/>
              </w:rPr>
            </w:pPr>
          </w:p>
        </w:tc>
        <w:tc>
          <w:tcPr>
            <w:tcW w:w="1048" w:type="dxa"/>
            <w:shd w:val="clear" w:color="auto" w:fill="auto"/>
            <w:noWrap/>
            <w:vAlign w:val="bottom"/>
            <w:hideMark/>
          </w:tcPr>
          <w:p w14:paraId="5D92E5B6" w14:textId="77777777" w:rsidR="008E5137" w:rsidRPr="004E7EE9" w:rsidRDefault="008E5137" w:rsidP="004E7EE9">
            <w:pPr>
              <w:rPr>
                <w:rFonts w:ascii="Calibri" w:eastAsia="Times New Roman" w:hAnsi="Calibri" w:cs="Times New Roman"/>
                <w:color w:val="006100"/>
                <w:sz w:val="20"/>
                <w:szCs w:val="20"/>
              </w:rPr>
            </w:pPr>
          </w:p>
        </w:tc>
        <w:tc>
          <w:tcPr>
            <w:tcW w:w="1132" w:type="dxa"/>
            <w:shd w:val="clear" w:color="auto" w:fill="auto"/>
            <w:noWrap/>
            <w:vAlign w:val="bottom"/>
            <w:hideMark/>
          </w:tcPr>
          <w:p w14:paraId="67836A34" w14:textId="77777777" w:rsidR="008E5137" w:rsidRPr="004E7EE9" w:rsidRDefault="008E5137" w:rsidP="004E7EE9">
            <w:pPr>
              <w:rPr>
                <w:rFonts w:ascii="Calibri" w:eastAsia="Times New Roman" w:hAnsi="Calibri" w:cs="Times New Roman"/>
                <w:color w:val="006100"/>
                <w:sz w:val="20"/>
                <w:szCs w:val="20"/>
              </w:rPr>
            </w:pPr>
          </w:p>
        </w:tc>
      </w:tr>
      <w:tr w:rsidR="008E5137" w:rsidRPr="004E7EE9" w14:paraId="3F09C051" w14:textId="77777777" w:rsidTr="008E5137">
        <w:trPr>
          <w:trHeight w:val="280"/>
        </w:trPr>
        <w:tc>
          <w:tcPr>
            <w:tcW w:w="1980" w:type="dxa"/>
            <w:shd w:val="clear" w:color="auto" w:fill="auto"/>
            <w:noWrap/>
            <w:vAlign w:val="bottom"/>
            <w:hideMark/>
          </w:tcPr>
          <w:p w14:paraId="69306363" w14:textId="77777777" w:rsidR="008E5137" w:rsidRPr="004E7EE9" w:rsidRDefault="008E5137" w:rsidP="004E7EE9">
            <w:pPr>
              <w:rPr>
                <w:rFonts w:ascii="Calibri" w:eastAsia="Times New Roman" w:hAnsi="Calibri" w:cs="Times New Roman"/>
                <w:color w:val="006100"/>
                <w:sz w:val="20"/>
                <w:szCs w:val="20"/>
              </w:rPr>
            </w:pPr>
            <w:r w:rsidRPr="004E7EE9">
              <w:rPr>
                <w:rFonts w:ascii="Calibri" w:eastAsia="Times New Roman" w:hAnsi="Calibri" w:cs="Times New Roman"/>
                <w:color w:val="006100"/>
                <w:sz w:val="20"/>
                <w:szCs w:val="20"/>
              </w:rPr>
              <w:t>dead C burned in Rx fire</w:t>
            </w:r>
          </w:p>
        </w:tc>
        <w:tc>
          <w:tcPr>
            <w:tcW w:w="810" w:type="dxa"/>
            <w:shd w:val="clear" w:color="auto" w:fill="auto"/>
            <w:noWrap/>
            <w:vAlign w:val="bottom"/>
            <w:hideMark/>
          </w:tcPr>
          <w:p w14:paraId="0061CCB9" w14:textId="2A65DDCA" w:rsidR="008E5137" w:rsidRPr="004E7EE9" w:rsidRDefault="008E5137" w:rsidP="004E7EE9">
            <w:pPr>
              <w:jc w:val="center"/>
              <w:rPr>
                <w:rFonts w:ascii="Calibri" w:eastAsia="Times New Roman" w:hAnsi="Calibri" w:cs="Times New Roman"/>
                <w:color w:val="006100"/>
                <w:sz w:val="20"/>
                <w:szCs w:val="20"/>
              </w:rPr>
            </w:pPr>
            <w:r>
              <w:rPr>
                <w:rFonts w:ascii="Calibri" w:eastAsia="Times New Roman" w:hAnsi="Calibri" w:cs="Times New Roman"/>
                <w:color w:val="006100"/>
                <w:sz w:val="20"/>
                <w:szCs w:val="20"/>
              </w:rPr>
              <w:t>0%</w:t>
            </w:r>
          </w:p>
        </w:tc>
        <w:tc>
          <w:tcPr>
            <w:tcW w:w="810" w:type="dxa"/>
            <w:shd w:val="clear" w:color="auto" w:fill="auto"/>
            <w:noWrap/>
            <w:vAlign w:val="bottom"/>
            <w:hideMark/>
          </w:tcPr>
          <w:p w14:paraId="2B85E74B" w14:textId="77777777" w:rsidR="008E5137" w:rsidRPr="004E7EE9" w:rsidRDefault="008E5137" w:rsidP="004E7EE9">
            <w:pPr>
              <w:jc w:val="right"/>
              <w:rPr>
                <w:rFonts w:ascii="Calibri" w:eastAsia="Times New Roman" w:hAnsi="Calibri" w:cs="Times New Roman"/>
                <w:color w:val="006100"/>
                <w:sz w:val="20"/>
                <w:szCs w:val="20"/>
              </w:rPr>
            </w:pPr>
            <w:r w:rsidRPr="004E7EE9">
              <w:rPr>
                <w:rFonts w:ascii="Calibri" w:eastAsia="Times New Roman" w:hAnsi="Calibri" w:cs="Times New Roman"/>
                <w:color w:val="006100"/>
                <w:sz w:val="20"/>
                <w:szCs w:val="20"/>
              </w:rPr>
              <w:t>20%</w:t>
            </w:r>
          </w:p>
        </w:tc>
        <w:tc>
          <w:tcPr>
            <w:tcW w:w="720" w:type="dxa"/>
            <w:shd w:val="clear" w:color="auto" w:fill="auto"/>
            <w:noWrap/>
            <w:vAlign w:val="bottom"/>
            <w:hideMark/>
          </w:tcPr>
          <w:p w14:paraId="4B07029C" w14:textId="77777777" w:rsidR="008E5137" w:rsidRPr="004E7EE9" w:rsidRDefault="008E5137" w:rsidP="004E7EE9">
            <w:pPr>
              <w:jc w:val="right"/>
              <w:rPr>
                <w:rFonts w:ascii="Calibri" w:eastAsia="Times New Roman" w:hAnsi="Calibri" w:cs="Times New Roman"/>
                <w:color w:val="006100"/>
                <w:sz w:val="20"/>
                <w:szCs w:val="20"/>
              </w:rPr>
            </w:pPr>
            <w:r w:rsidRPr="004E7EE9">
              <w:rPr>
                <w:rFonts w:ascii="Calibri" w:eastAsia="Times New Roman" w:hAnsi="Calibri" w:cs="Times New Roman"/>
                <w:color w:val="006100"/>
                <w:sz w:val="20"/>
                <w:szCs w:val="20"/>
              </w:rPr>
              <w:t>0%</w:t>
            </w:r>
          </w:p>
        </w:tc>
        <w:tc>
          <w:tcPr>
            <w:tcW w:w="1060" w:type="dxa"/>
            <w:shd w:val="clear" w:color="auto" w:fill="auto"/>
            <w:noWrap/>
            <w:vAlign w:val="bottom"/>
            <w:hideMark/>
          </w:tcPr>
          <w:p w14:paraId="66FBF6C2" w14:textId="77777777" w:rsidR="008E5137" w:rsidRPr="004E7EE9" w:rsidRDefault="008E5137" w:rsidP="004E7EE9">
            <w:pPr>
              <w:jc w:val="right"/>
              <w:rPr>
                <w:rFonts w:ascii="Calibri" w:eastAsia="Times New Roman" w:hAnsi="Calibri" w:cs="Times New Roman"/>
                <w:color w:val="006100"/>
                <w:sz w:val="20"/>
                <w:szCs w:val="20"/>
              </w:rPr>
            </w:pPr>
            <w:r w:rsidRPr="004E7EE9">
              <w:rPr>
                <w:rFonts w:ascii="Calibri" w:eastAsia="Times New Roman" w:hAnsi="Calibri" w:cs="Times New Roman"/>
                <w:color w:val="006100"/>
                <w:sz w:val="20"/>
                <w:szCs w:val="20"/>
              </w:rPr>
              <w:t>0%</w:t>
            </w:r>
          </w:p>
        </w:tc>
        <w:tc>
          <w:tcPr>
            <w:tcW w:w="1048" w:type="dxa"/>
            <w:shd w:val="clear" w:color="auto" w:fill="auto"/>
            <w:noWrap/>
            <w:vAlign w:val="bottom"/>
            <w:hideMark/>
          </w:tcPr>
          <w:p w14:paraId="6B365361" w14:textId="77777777" w:rsidR="008E5137" w:rsidRPr="004E7EE9" w:rsidRDefault="008E5137" w:rsidP="004E7EE9">
            <w:pPr>
              <w:jc w:val="right"/>
              <w:rPr>
                <w:rFonts w:ascii="Calibri" w:eastAsia="Times New Roman" w:hAnsi="Calibri" w:cs="Times New Roman"/>
                <w:color w:val="006100"/>
                <w:sz w:val="20"/>
                <w:szCs w:val="20"/>
              </w:rPr>
            </w:pPr>
            <w:r w:rsidRPr="004E7EE9">
              <w:rPr>
                <w:rFonts w:ascii="Calibri" w:eastAsia="Times New Roman" w:hAnsi="Calibri" w:cs="Times New Roman"/>
                <w:color w:val="006100"/>
                <w:sz w:val="20"/>
                <w:szCs w:val="20"/>
              </w:rPr>
              <w:t>0%</w:t>
            </w:r>
          </w:p>
        </w:tc>
        <w:tc>
          <w:tcPr>
            <w:tcW w:w="1132" w:type="dxa"/>
            <w:shd w:val="clear" w:color="auto" w:fill="auto"/>
            <w:noWrap/>
            <w:vAlign w:val="bottom"/>
            <w:hideMark/>
          </w:tcPr>
          <w:p w14:paraId="1E29A774" w14:textId="77777777" w:rsidR="008E5137" w:rsidRPr="004E7EE9" w:rsidRDefault="008E5137" w:rsidP="004E7EE9">
            <w:pPr>
              <w:jc w:val="right"/>
              <w:rPr>
                <w:rFonts w:ascii="Calibri" w:eastAsia="Times New Roman" w:hAnsi="Calibri" w:cs="Times New Roman"/>
                <w:color w:val="006100"/>
                <w:sz w:val="20"/>
                <w:szCs w:val="20"/>
              </w:rPr>
            </w:pPr>
            <w:r w:rsidRPr="004E7EE9">
              <w:rPr>
                <w:rFonts w:ascii="Calibri" w:eastAsia="Times New Roman" w:hAnsi="Calibri" w:cs="Times New Roman"/>
                <w:color w:val="006100"/>
                <w:sz w:val="20"/>
                <w:szCs w:val="20"/>
              </w:rPr>
              <w:t>0%</w:t>
            </w:r>
          </w:p>
        </w:tc>
      </w:tr>
    </w:tbl>
    <w:p w14:paraId="3B504205" w14:textId="77777777" w:rsidR="004E7EE9" w:rsidRDefault="004E7EE9" w:rsidP="00FF7D74"/>
    <w:p w14:paraId="767B7D5D" w14:textId="05F5B333" w:rsidR="00741488" w:rsidRDefault="00741488" w:rsidP="004E7EE9">
      <w:r>
        <w:t xml:space="preserve">Improvements in post fire measurements have documented the wildfires burn at differing levels severity within the fire perimeter. Higher fire severity is associated with higher immediate rates of carbon loss during the fire as well as with mortality to live trees. Table 5 contains the modeling assumptions on the percent of area within no-treatment wildfires and post-treatment wildfires in terms of the area burned at different severities and the associate immediate/short term emissions. </w:t>
      </w:r>
      <w:r w:rsidR="00EF4C8F">
        <w:t xml:space="preserve">The model assumes the same relationship between fire severity and eventual loss of carbon but after treatments, changes the proportion of area within the fire that burns at high severity. </w:t>
      </w:r>
      <w:r w:rsidR="00D57E02">
        <w:t xml:space="preserve">The % </w:t>
      </w:r>
      <w:r w:rsidR="00EF4C8F">
        <w:t xml:space="preserve">loss of carbon </w:t>
      </w:r>
      <w:r w:rsidR="00D57E02">
        <w:t xml:space="preserve">is applied to all at risk carbon pools from the live trees to the upper portion of the forest soil. </w:t>
      </w:r>
    </w:p>
    <w:p w14:paraId="1303FDA2" w14:textId="77777777" w:rsidR="008C31DB" w:rsidRDefault="008C31DB" w:rsidP="004E7EE9"/>
    <w:p w14:paraId="0B33265A" w14:textId="3DE86D77" w:rsidR="004E7EE9" w:rsidRDefault="004E7EE9" w:rsidP="004E7EE9">
      <w:r>
        <w:t xml:space="preserve">Table </w:t>
      </w:r>
      <w:r w:rsidR="007B0CC3">
        <w:t>5</w:t>
      </w:r>
      <w:r>
        <w:t xml:space="preserve">: Estimated fire severity and resulting loss of carbon for 1) no treatment stand, 2) </w:t>
      </w:r>
      <w:r w:rsidR="00112B28">
        <w:t xml:space="preserve">effective </w:t>
      </w:r>
      <w:proofErr w:type="gramStart"/>
      <w:r>
        <w:t>treatment ,</w:t>
      </w:r>
      <w:proofErr w:type="gramEnd"/>
      <w:r>
        <w:t xml:space="preserve"> and 3) </w:t>
      </w:r>
      <w:r w:rsidR="00112B28">
        <w:t xml:space="preserve">very effective </w:t>
      </w:r>
      <w:r>
        <w:t>treatment</w:t>
      </w:r>
      <w:r w:rsidR="00EF4C8F">
        <w:t xml:space="preserve"> </w:t>
      </w:r>
    </w:p>
    <w:tbl>
      <w:tblPr>
        <w:tblW w:w="8660" w:type="dxa"/>
        <w:tblInd w:w="98" w:type="dxa"/>
        <w:tblLook w:val="04A0" w:firstRow="1" w:lastRow="0" w:firstColumn="1" w:lastColumn="0" w:noHBand="0" w:noVBand="1"/>
      </w:tblPr>
      <w:tblGrid>
        <w:gridCol w:w="2425"/>
        <w:gridCol w:w="772"/>
        <w:gridCol w:w="1304"/>
        <w:gridCol w:w="772"/>
        <w:gridCol w:w="1304"/>
        <w:gridCol w:w="772"/>
        <w:gridCol w:w="1311"/>
      </w:tblGrid>
      <w:tr w:rsidR="00A10D9E" w:rsidRPr="00A10D9E" w14:paraId="5AE6FF9C" w14:textId="77777777" w:rsidTr="00A10D9E">
        <w:trPr>
          <w:trHeight w:val="360"/>
        </w:trPr>
        <w:tc>
          <w:tcPr>
            <w:tcW w:w="8660" w:type="dxa"/>
            <w:gridSpan w:val="7"/>
            <w:tcBorders>
              <w:top w:val="single" w:sz="8" w:space="0" w:color="auto"/>
              <w:left w:val="single" w:sz="8" w:space="0" w:color="auto"/>
              <w:bottom w:val="nil"/>
              <w:right w:val="single" w:sz="8" w:space="0" w:color="000000"/>
            </w:tcBorders>
            <w:shd w:val="clear" w:color="000000" w:fill="D9D9D9"/>
            <w:noWrap/>
            <w:vAlign w:val="bottom"/>
            <w:hideMark/>
          </w:tcPr>
          <w:p w14:paraId="2281715F" w14:textId="77777777" w:rsidR="00A10D9E" w:rsidRPr="00A10D9E" w:rsidRDefault="00A10D9E" w:rsidP="00A10D9E">
            <w:pPr>
              <w:jc w:val="center"/>
              <w:rPr>
                <w:rFonts w:ascii="Calibri" w:eastAsia="Times New Roman" w:hAnsi="Calibri" w:cs="Times New Roman"/>
                <w:b/>
                <w:bCs/>
                <w:sz w:val="20"/>
                <w:szCs w:val="20"/>
              </w:rPr>
            </w:pPr>
            <w:r w:rsidRPr="00A10D9E">
              <w:rPr>
                <w:rFonts w:ascii="Calibri" w:eastAsia="Times New Roman" w:hAnsi="Calibri" w:cs="Times New Roman"/>
                <w:b/>
                <w:bCs/>
                <w:sz w:val="20"/>
                <w:szCs w:val="20"/>
              </w:rPr>
              <w:t>Estimated Fire Severity and Mortality Percentages</w:t>
            </w:r>
          </w:p>
        </w:tc>
      </w:tr>
      <w:tr w:rsidR="00A10D9E" w:rsidRPr="00A10D9E" w14:paraId="035B72B2" w14:textId="77777777" w:rsidTr="00A10D9E">
        <w:trPr>
          <w:trHeight w:val="260"/>
        </w:trPr>
        <w:tc>
          <w:tcPr>
            <w:tcW w:w="8660" w:type="dxa"/>
            <w:gridSpan w:val="7"/>
            <w:tcBorders>
              <w:top w:val="nil"/>
              <w:left w:val="single" w:sz="8" w:space="0" w:color="auto"/>
              <w:bottom w:val="single" w:sz="8" w:space="0" w:color="auto"/>
              <w:right w:val="single" w:sz="8" w:space="0" w:color="000000"/>
            </w:tcBorders>
            <w:shd w:val="clear" w:color="000000" w:fill="D9D9D9"/>
            <w:noWrap/>
            <w:hideMark/>
          </w:tcPr>
          <w:p w14:paraId="6AE8E30E" w14:textId="77777777" w:rsidR="00A10D9E" w:rsidRPr="00A10D9E" w:rsidRDefault="00A10D9E" w:rsidP="00A10D9E">
            <w:pPr>
              <w:jc w:val="center"/>
              <w:rPr>
                <w:rFonts w:ascii="Calibri" w:eastAsia="Times New Roman" w:hAnsi="Calibri" w:cs="Times New Roman"/>
                <w:sz w:val="20"/>
                <w:szCs w:val="20"/>
              </w:rPr>
            </w:pPr>
            <w:r w:rsidRPr="00A10D9E">
              <w:rPr>
                <w:rFonts w:ascii="Calibri" w:eastAsia="Times New Roman" w:hAnsi="Calibri" w:cs="Times New Roman"/>
                <w:sz w:val="20"/>
                <w:szCs w:val="20"/>
              </w:rPr>
              <w:t>(in the event of a natural wildfire)</w:t>
            </w:r>
          </w:p>
        </w:tc>
      </w:tr>
      <w:tr w:rsidR="00A10D9E" w:rsidRPr="00A10D9E" w14:paraId="5D99A578" w14:textId="77777777" w:rsidTr="00A10D9E">
        <w:trPr>
          <w:trHeight w:val="460"/>
        </w:trPr>
        <w:tc>
          <w:tcPr>
            <w:tcW w:w="2425" w:type="dxa"/>
            <w:tcBorders>
              <w:top w:val="nil"/>
              <w:left w:val="single" w:sz="8" w:space="0" w:color="auto"/>
              <w:bottom w:val="single" w:sz="4" w:space="0" w:color="auto"/>
              <w:right w:val="single" w:sz="4" w:space="0" w:color="auto"/>
            </w:tcBorders>
            <w:shd w:val="clear" w:color="auto" w:fill="auto"/>
            <w:noWrap/>
            <w:vAlign w:val="bottom"/>
            <w:hideMark/>
          </w:tcPr>
          <w:p w14:paraId="664BCBA3" w14:textId="77777777" w:rsidR="00A10D9E" w:rsidRPr="00A10D9E" w:rsidRDefault="00A10D9E" w:rsidP="00A10D9E">
            <w:pPr>
              <w:rPr>
                <w:rFonts w:ascii="Calibri" w:eastAsia="Times New Roman" w:hAnsi="Calibri" w:cs="Times New Roman"/>
                <w:sz w:val="20"/>
                <w:szCs w:val="20"/>
              </w:rPr>
            </w:pPr>
            <w:r w:rsidRPr="00A10D9E">
              <w:rPr>
                <w:rFonts w:ascii="Calibri" w:eastAsia="Times New Roman" w:hAnsi="Calibri" w:cs="Times New Roman"/>
                <w:sz w:val="20"/>
                <w:szCs w:val="20"/>
              </w:rPr>
              <w:t> </w:t>
            </w:r>
          </w:p>
        </w:tc>
        <w:tc>
          <w:tcPr>
            <w:tcW w:w="2076" w:type="dxa"/>
            <w:gridSpan w:val="2"/>
            <w:tcBorders>
              <w:top w:val="nil"/>
              <w:left w:val="nil"/>
              <w:bottom w:val="single" w:sz="4" w:space="0" w:color="auto"/>
              <w:right w:val="single" w:sz="4" w:space="0" w:color="auto"/>
            </w:tcBorders>
            <w:shd w:val="clear" w:color="000000" w:fill="F2DCDB"/>
            <w:vAlign w:val="bottom"/>
            <w:hideMark/>
          </w:tcPr>
          <w:p w14:paraId="04D0162B" w14:textId="77777777" w:rsidR="00A10D9E" w:rsidRPr="00A10D9E" w:rsidRDefault="00A10D9E" w:rsidP="00A10D9E">
            <w:pPr>
              <w:jc w:val="center"/>
              <w:rPr>
                <w:rFonts w:ascii="Calibri" w:eastAsia="Times New Roman" w:hAnsi="Calibri" w:cs="Times New Roman"/>
                <w:sz w:val="20"/>
                <w:szCs w:val="20"/>
              </w:rPr>
            </w:pPr>
            <w:r w:rsidRPr="00A10D9E">
              <w:rPr>
                <w:rFonts w:ascii="Calibri" w:eastAsia="Times New Roman" w:hAnsi="Calibri" w:cs="Times New Roman"/>
                <w:sz w:val="20"/>
                <w:szCs w:val="20"/>
              </w:rPr>
              <w:t>No treatment</w:t>
            </w:r>
          </w:p>
        </w:tc>
        <w:tc>
          <w:tcPr>
            <w:tcW w:w="2076" w:type="dxa"/>
            <w:gridSpan w:val="2"/>
            <w:tcBorders>
              <w:top w:val="nil"/>
              <w:left w:val="nil"/>
              <w:bottom w:val="single" w:sz="4" w:space="0" w:color="auto"/>
              <w:right w:val="single" w:sz="4" w:space="0" w:color="auto"/>
            </w:tcBorders>
            <w:shd w:val="clear" w:color="000000" w:fill="E6B8B7"/>
            <w:vAlign w:val="bottom"/>
            <w:hideMark/>
          </w:tcPr>
          <w:p w14:paraId="3DEF1CF4" w14:textId="77777777" w:rsidR="00A10D9E" w:rsidRPr="00A10D9E" w:rsidRDefault="00A10D9E" w:rsidP="00A10D9E">
            <w:pPr>
              <w:jc w:val="center"/>
              <w:rPr>
                <w:rFonts w:ascii="Calibri" w:eastAsia="Times New Roman" w:hAnsi="Calibri" w:cs="Times New Roman"/>
                <w:sz w:val="20"/>
                <w:szCs w:val="20"/>
              </w:rPr>
            </w:pPr>
            <w:r w:rsidRPr="00A10D9E">
              <w:rPr>
                <w:rFonts w:ascii="Calibri" w:eastAsia="Times New Roman" w:hAnsi="Calibri" w:cs="Times New Roman"/>
                <w:sz w:val="20"/>
                <w:szCs w:val="20"/>
              </w:rPr>
              <w:t>Effective treatment</w:t>
            </w:r>
          </w:p>
        </w:tc>
        <w:tc>
          <w:tcPr>
            <w:tcW w:w="2083" w:type="dxa"/>
            <w:gridSpan w:val="2"/>
            <w:tcBorders>
              <w:top w:val="nil"/>
              <w:left w:val="nil"/>
              <w:bottom w:val="single" w:sz="4" w:space="0" w:color="auto"/>
              <w:right w:val="single" w:sz="8" w:space="0" w:color="000000"/>
            </w:tcBorders>
            <w:shd w:val="clear" w:color="000000" w:fill="DA9694"/>
            <w:vAlign w:val="bottom"/>
            <w:hideMark/>
          </w:tcPr>
          <w:p w14:paraId="1936925C" w14:textId="77777777" w:rsidR="00A10D9E" w:rsidRPr="00A10D9E" w:rsidRDefault="00A10D9E" w:rsidP="00A10D9E">
            <w:pPr>
              <w:jc w:val="center"/>
              <w:rPr>
                <w:rFonts w:ascii="Calibri" w:eastAsia="Times New Roman" w:hAnsi="Calibri" w:cs="Times New Roman"/>
                <w:sz w:val="20"/>
                <w:szCs w:val="20"/>
              </w:rPr>
            </w:pPr>
            <w:r w:rsidRPr="00A10D9E">
              <w:rPr>
                <w:rFonts w:ascii="Calibri" w:eastAsia="Times New Roman" w:hAnsi="Calibri" w:cs="Times New Roman"/>
                <w:sz w:val="20"/>
                <w:szCs w:val="20"/>
              </w:rPr>
              <w:t>Very effective treatment</w:t>
            </w:r>
          </w:p>
        </w:tc>
      </w:tr>
      <w:tr w:rsidR="00A10D9E" w:rsidRPr="00A10D9E" w14:paraId="696EE896" w14:textId="77777777" w:rsidTr="00A10D9E">
        <w:trPr>
          <w:trHeight w:val="280"/>
        </w:trPr>
        <w:tc>
          <w:tcPr>
            <w:tcW w:w="2425" w:type="dxa"/>
            <w:tcBorders>
              <w:top w:val="nil"/>
              <w:left w:val="single" w:sz="8" w:space="0" w:color="auto"/>
              <w:bottom w:val="single" w:sz="4" w:space="0" w:color="auto"/>
              <w:right w:val="single" w:sz="4" w:space="0" w:color="auto"/>
            </w:tcBorders>
            <w:shd w:val="clear" w:color="auto" w:fill="auto"/>
            <w:noWrap/>
            <w:vAlign w:val="bottom"/>
            <w:hideMark/>
          </w:tcPr>
          <w:p w14:paraId="6A6DC276" w14:textId="77777777" w:rsidR="00A10D9E" w:rsidRPr="00A10D9E" w:rsidRDefault="00A10D9E" w:rsidP="00A10D9E">
            <w:pPr>
              <w:rPr>
                <w:rFonts w:ascii="Calibri" w:eastAsia="Times New Roman" w:hAnsi="Calibri" w:cs="Times New Roman"/>
                <w:sz w:val="20"/>
                <w:szCs w:val="20"/>
              </w:rPr>
            </w:pPr>
            <w:r w:rsidRPr="00A10D9E">
              <w:rPr>
                <w:rFonts w:ascii="Calibri" w:eastAsia="Times New Roman" w:hAnsi="Calibri" w:cs="Times New Roman"/>
                <w:sz w:val="20"/>
                <w:szCs w:val="20"/>
              </w:rPr>
              <w:t>Fire Severity</w:t>
            </w:r>
          </w:p>
        </w:tc>
        <w:tc>
          <w:tcPr>
            <w:tcW w:w="772" w:type="dxa"/>
            <w:tcBorders>
              <w:top w:val="nil"/>
              <w:left w:val="nil"/>
              <w:bottom w:val="single" w:sz="4" w:space="0" w:color="auto"/>
              <w:right w:val="single" w:sz="4" w:space="0" w:color="auto"/>
            </w:tcBorders>
            <w:shd w:val="clear" w:color="000000" w:fill="FFFFFF"/>
            <w:noWrap/>
            <w:vAlign w:val="bottom"/>
            <w:hideMark/>
          </w:tcPr>
          <w:p w14:paraId="0FCA08DB" w14:textId="77777777" w:rsidR="00A10D9E" w:rsidRPr="00A10D9E" w:rsidRDefault="00A10D9E" w:rsidP="00A10D9E">
            <w:pPr>
              <w:rPr>
                <w:rFonts w:ascii="Calibri" w:eastAsia="Times New Roman" w:hAnsi="Calibri" w:cs="Times New Roman"/>
                <w:sz w:val="20"/>
                <w:szCs w:val="20"/>
              </w:rPr>
            </w:pPr>
            <w:r w:rsidRPr="00A10D9E">
              <w:rPr>
                <w:rFonts w:ascii="Calibri" w:eastAsia="Times New Roman" w:hAnsi="Calibri" w:cs="Times New Roman"/>
                <w:sz w:val="20"/>
                <w:szCs w:val="20"/>
              </w:rPr>
              <w:t>% area</w:t>
            </w:r>
          </w:p>
        </w:tc>
        <w:tc>
          <w:tcPr>
            <w:tcW w:w="1304" w:type="dxa"/>
            <w:tcBorders>
              <w:top w:val="nil"/>
              <w:left w:val="nil"/>
              <w:bottom w:val="single" w:sz="4" w:space="0" w:color="auto"/>
              <w:right w:val="single" w:sz="4" w:space="0" w:color="auto"/>
            </w:tcBorders>
            <w:shd w:val="clear" w:color="000000" w:fill="FFFFFF"/>
            <w:noWrap/>
            <w:vAlign w:val="bottom"/>
            <w:hideMark/>
          </w:tcPr>
          <w:p w14:paraId="54C260D2" w14:textId="77777777" w:rsidR="00A10D9E" w:rsidRPr="00A10D9E" w:rsidRDefault="00A10D9E" w:rsidP="00A10D9E">
            <w:pPr>
              <w:rPr>
                <w:rFonts w:ascii="Calibri" w:eastAsia="Times New Roman" w:hAnsi="Calibri" w:cs="Times New Roman"/>
                <w:sz w:val="20"/>
                <w:szCs w:val="20"/>
              </w:rPr>
            </w:pPr>
            <w:r w:rsidRPr="00A10D9E">
              <w:rPr>
                <w:rFonts w:ascii="Calibri" w:eastAsia="Times New Roman" w:hAnsi="Calibri" w:cs="Times New Roman"/>
                <w:sz w:val="20"/>
                <w:szCs w:val="20"/>
              </w:rPr>
              <w:t>% mortality</w:t>
            </w:r>
          </w:p>
        </w:tc>
        <w:tc>
          <w:tcPr>
            <w:tcW w:w="772" w:type="dxa"/>
            <w:tcBorders>
              <w:top w:val="nil"/>
              <w:left w:val="nil"/>
              <w:bottom w:val="single" w:sz="4" w:space="0" w:color="auto"/>
              <w:right w:val="single" w:sz="4" w:space="0" w:color="auto"/>
            </w:tcBorders>
            <w:shd w:val="clear" w:color="000000" w:fill="FFFFFF"/>
            <w:noWrap/>
            <w:vAlign w:val="bottom"/>
            <w:hideMark/>
          </w:tcPr>
          <w:p w14:paraId="40093906" w14:textId="77777777" w:rsidR="00A10D9E" w:rsidRPr="00A10D9E" w:rsidRDefault="00A10D9E" w:rsidP="00A10D9E">
            <w:pPr>
              <w:rPr>
                <w:rFonts w:ascii="Calibri" w:eastAsia="Times New Roman" w:hAnsi="Calibri" w:cs="Times New Roman"/>
                <w:sz w:val="20"/>
                <w:szCs w:val="20"/>
              </w:rPr>
            </w:pPr>
            <w:r w:rsidRPr="00A10D9E">
              <w:rPr>
                <w:rFonts w:ascii="Calibri" w:eastAsia="Times New Roman" w:hAnsi="Calibri" w:cs="Times New Roman"/>
                <w:sz w:val="20"/>
                <w:szCs w:val="20"/>
              </w:rPr>
              <w:t>% area</w:t>
            </w:r>
          </w:p>
        </w:tc>
        <w:tc>
          <w:tcPr>
            <w:tcW w:w="1304" w:type="dxa"/>
            <w:tcBorders>
              <w:top w:val="nil"/>
              <w:left w:val="nil"/>
              <w:bottom w:val="single" w:sz="4" w:space="0" w:color="auto"/>
              <w:right w:val="single" w:sz="4" w:space="0" w:color="auto"/>
            </w:tcBorders>
            <w:shd w:val="clear" w:color="000000" w:fill="FFFFFF"/>
            <w:noWrap/>
            <w:vAlign w:val="bottom"/>
            <w:hideMark/>
          </w:tcPr>
          <w:p w14:paraId="3CDD61C3" w14:textId="77777777" w:rsidR="00A10D9E" w:rsidRPr="00A10D9E" w:rsidRDefault="00A10D9E" w:rsidP="00A10D9E">
            <w:pPr>
              <w:rPr>
                <w:rFonts w:ascii="Calibri" w:eastAsia="Times New Roman" w:hAnsi="Calibri" w:cs="Times New Roman"/>
                <w:sz w:val="20"/>
                <w:szCs w:val="20"/>
              </w:rPr>
            </w:pPr>
            <w:r w:rsidRPr="00A10D9E">
              <w:rPr>
                <w:rFonts w:ascii="Calibri" w:eastAsia="Times New Roman" w:hAnsi="Calibri" w:cs="Times New Roman"/>
                <w:sz w:val="20"/>
                <w:szCs w:val="20"/>
              </w:rPr>
              <w:t>% mortality</w:t>
            </w:r>
          </w:p>
        </w:tc>
        <w:tc>
          <w:tcPr>
            <w:tcW w:w="772" w:type="dxa"/>
            <w:tcBorders>
              <w:top w:val="nil"/>
              <w:left w:val="nil"/>
              <w:bottom w:val="single" w:sz="4" w:space="0" w:color="auto"/>
              <w:right w:val="single" w:sz="4" w:space="0" w:color="auto"/>
            </w:tcBorders>
            <w:shd w:val="clear" w:color="000000" w:fill="FFFFFF"/>
            <w:noWrap/>
            <w:vAlign w:val="bottom"/>
            <w:hideMark/>
          </w:tcPr>
          <w:p w14:paraId="13FC53BA" w14:textId="77777777" w:rsidR="00A10D9E" w:rsidRPr="00A10D9E" w:rsidRDefault="00A10D9E" w:rsidP="00A10D9E">
            <w:pPr>
              <w:rPr>
                <w:rFonts w:ascii="Calibri" w:eastAsia="Times New Roman" w:hAnsi="Calibri" w:cs="Times New Roman"/>
                <w:sz w:val="20"/>
                <w:szCs w:val="20"/>
              </w:rPr>
            </w:pPr>
            <w:r w:rsidRPr="00A10D9E">
              <w:rPr>
                <w:rFonts w:ascii="Calibri" w:eastAsia="Times New Roman" w:hAnsi="Calibri" w:cs="Times New Roman"/>
                <w:sz w:val="20"/>
                <w:szCs w:val="20"/>
              </w:rPr>
              <w:t>% area</w:t>
            </w:r>
          </w:p>
        </w:tc>
        <w:tc>
          <w:tcPr>
            <w:tcW w:w="1311" w:type="dxa"/>
            <w:tcBorders>
              <w:top w:val="nil"/>
              <w:left w:val="nil"/>
              <w:bottom w:val="single" w:sz="4" w:space="0" w:color="auto"/>
              <w:right w:val="single" w:sz="8" w:space="0" w:color="auto"/>
            </w:tcBorders>
            <w:shd w:val="clear" w:color="000000" w:fill="FFFFFF"/>
            <w:noWrap/>
            <w:vAlign w:val="bottom"/>
            <w:hideMark/>
          </w:tcPr>
          <w:p w14:paraId="5224D0E6" w14:textId="77777777" w:rsidR="00A10D9E" w:rsidRPr="00A10D9E" w:rsidRDefault="00A10D9E" w:rsidP="00A10D9E">
            <w:pPr>
              <w:rPr>
                <w:rFonts w:ascii="Calibri" w:eastAsia="Times New Roman" w:hAnsi="Calibri" w:cs="Times New Roman"/>
                <w:sz w:val="20"/>
                <w:szCs w:val="20"/>
              </w:rPr>
            </w:pPr>
            <w:r w:rsidRPr="00A10D9E">
              <w:rPr>
                <w:rFonts w:ascii="Calibri" w:eastAsia="Times New Roman" w:hAnsi="Calibri" w:cs="Times New Roman"/>
                <w:sz w:val="20"/>
                <w:szCs w:val="20"/>
              </w:rPr>
              <w:t>% mortality</w:t>
            </w:r>
          </w:p>
        </w:tc>
      </w:tr>
      <w:tr w:rsidR="00A10D9E" w:rsidRPr="00A10D9E" w14:paraId="04E6E98A" w14:textId="77777777" w:rsidTr="00A10D9E">
        <w:trPr>
          <w:trHeight w:val="280"/>
        </w:trPr>
        <w:tc>
          <w:tcPr>
            <w:tcW w:w="2425" w:type="dxa"/>
            <w:tcBorders>
              <w:top w:val="nil"/>
              <w:left w:val="single" w:sz="8" w:space="0" w:color="auto"/>
              <w:bottom w:val="single" w:sz="4" w:space="0" w:color="auto"/>
              <w:right w:val="single" w:sz="4" w:space="0" w:color="auto"/>
            </w:tcBorders>
            <w:shd w:val="clear" w:color="auto" w:fill="auto"/>
            <w:noWrap/>
            <w:vAlign w:val="bottom"/>
            <w:hideMark/>
          </w:tcPr>
          <w:p w14:paraId="5EDDA4F2" w14:textId="77777777" w:rsidR="00A10D9E" w:rsidRPr="00A10D9E" w:rsidRDefault="00A10D9E" w:rsidP="00A10D9E">
            <w:pPr>
              <w:rPr>
                <w:rFonts w:ascii="Calibri" w:eastAsia="Times New Roman" w:hAnsi="Calibri" w:cs="Times New Roman"/>
                <w:sz w:val="20"/>
                <w:szCs w:val="20"/>
              </w:rPr>
            </w:pPr>
            <w:r w:rsidRPr="00A10D9E">
              <w:rPr>
                <w:rFonts w:ascii="Calibri" w:eastAsia="Times New Roman" w:hAnsi="Calibri" w:cs="Times New Roman"/>
                <w:sz w:val="20"/>
                <w:szCs w:val="20"/>
              </w:rPr>
              <w:t>high</w:t>
            </w:r>
          </w:p>
        </w:tc>
        <w:tc>
          <w:tcPr>
            <w:tcW w:w="772" w:type="dxa"/>
            <w:tcBorders>
              <w:top w:val="nil"/>
              <w:left w:val="nil"/>
              <w:bottom w:val="single" w:sz="4" w:space="0" w:color="auto"/>
              <w:right w:val="single" w:sz="4" w:space="0" w:color="auto"/>
            </w:tcBorders>
            <w:shd w:val="clear" w:color="000000" w:fill="FFFFFF"/>
            <w:noWrap/>
            <w:vAlign w:val="bottom"/>
            <w:hideMark/>
          </w:tcPr>
          <w:p w14:paraId="780DCBAD" w14:textId="77777777" w:rsidR="00A10D9E" w:rsidRPr="00A10D9E" w:rsidRDefault="00A10D9E" w:rsidP="00A10D9E">
            <w:pPr>
              <w:jc w:val="center"/>
              <w:rPr>
                <w:rFonts w:ascii="Calibri" w:eastAsia="Times New Roman" w:hAnsi="Calibri" w:cs="Times New Roman"/>
                <w:sz w:val="20"/>
                <w:szCs w:val="20"/>
              </w:rPr>
            </w:pPr>
            <w:r w:rsidRPr="00A10D9E">
              <w:rPr>
                <w:rFonts w:ascii="Calibri" w:eastAsia="Times New Roman" w:hAnsi="Calibri" w:cs="Times New Roman"/>
                <w:sz w:val="20"/>
                <w:szCs w:val="20"/>
              </w:rPr>
              <w:t>30%</w:t>
            </w:r>
          </w:p>
        </w:tc>
        <w:tc>
          <w:tcPr>
            <w:tcW w:w="1304" w:type="dxa"/>
            <w:tcBorders>
              <w:top w:val="nil"/>
              <w:left w:val="nil"/>
              <w:bottom w:val="single" w:sz="4" w:space="0" w:color="auto"/>
              <w:right w:val="single" w:sz="4" w:space="0" w:color="auto"/>
            </w:tcBorders>
            <w:shd w:val="clear" w:color="000000" w:fill="FFFFFF"/>
            <w:noWrap/>
            <w:vAlign w:val="bottom"/>
            <w:hideMark/>
          </w:tcPr>
          <w:p w14:paraId="444B9E0A" w14:textId="77777777" w:rsidR="00A10D9E" w:rsidRPr="00A10D9E" w:rsidRDefault="00A10D9E" w:rsidP="00A10D9E">
            <w:pPr>
              <w:jc w:val="center"/>
              <w:rPr>
                <w:rFonts w:ascii="Calibri" w:eastAsia="Times New Roman" w:hAnsi="Calibri" w:cs="Times New Roman"/>
                <w:sz w:val="20"/>
                <w:szCs w:val="20"/>
              </w:rPr>
            </w:pPr>
            <w:r w:rsidRPr="00A10D9E">
              <w:rPr>
                <w:rFonts w:ascii="Calibri" w:eastAsia="Times New Roman" w:hAnsi="Calibri" w:cs="Times New Roman"/>
                <w:sz w:val="20"/>
                <w:szCs w:val="20"/>
              </w:rPr>
              <w:t>100%</w:t>
            </w:r>
          </w:p>
        </w:tc>
        <w:tc>
          <w:tcPr>
            <w:tcW w:w="772" w:type="dxa"/>
            <w:tcBorders>
              <w:top w:val="nil"/>
              <w:left w:val="nil"/>
              <w:bottom w:val="single" w:sz="4" w:space="0" w:color="auto"/>
              <w:right w:val="single" w:sz="4" w:space="0" w:color="auto"/>
            </w:tcBorders>
            <w:shd w:val="clear" w:color="000000" w:fill="FFFFFF"/>
            <w:noWrap/>
            <w:vAlign w:val="bottom"/>
            <w:hideMark/>
          </w:tcPr>
          <w:p w14:paraId="23FAB895" w14:textId="77777777" w:rsidR="00A10D9E" w:rsidRPr="00A10D9E" w:rsidRDefault="00A10D9E" w:rsidP="00A10D9E">
            <w:pPr>
              <w:jc w:val="right"/>
              <w:rPr>
                <w:rFonts w:ascii="Calibri" w:eastAsia="Times New Roman" w:hAnsi="Calibri" w:cs="Times New Roman"/>
                <w:sz w:val="20"/>
                <w:szCs w:val="20"/>
              </w:rPr>
            </w:pPr>
            <w:r w:rsidRPr="00A10D9E">
              <w:rPr>
                <w:rFonts w:ascii="Calibri" w:eastAsia="Times New Roman" w:hAnsi="Calibri" w:cs="Times New Roman"/>
                <w:sz w:val="20"/>
                <w:szCs w:val="20"/>
              </w:rPr>
              <w:t>20%</w:t>
            </w:r>
          </w:p>
        </w:tc>
        <w:tc>
          <w:tcPr>
            <w:tcW w:w="1304" w:type="dxa"/>
            <w:tcBorders>
              <w:top w:val="nil"/>
              <w:left w:val="nil"/>
              <w:bottom w:val="single" w:sz="4" w:space="0" w:color="auto"/>
              <w:right w:val="single" w:sz="4" w:space="0" w:color="auto"/>
            </w:tcBorders>
            <w:shd w:val="clear" w:color="000000" w:fill="FFFFFF"/>
            <w:noWrap/>
            <w:vAlign w:val="bottom"/>
            <w:hideMark/>
          </w:tcPr>
          <w:p w14:paraId="6487E286" w14:textId="77777777" w:rsidR="00A10D9E" w:rsidRPr="00A10D9E" w:rsidRDefault="00A10D9E" w:rsidP="00A10D9E">
            <w:pPr>
              <w:jc w:val="center"/>
              <w:rPr>
                <w:rFonts w:ascii="Calibri" w:eastAsia="Times New Roman" w:hAnsi="Calibri" w:cs="Times New Roman"/>
                <w:sz w:val="20"/>
                <w:szCs w:val="20"/>
              </w:rPr>
            </w:pPr>
            <w:r w:rsidRPr="00A10D9E">
              <w:rPr>
                <w:rFonts w:ascii="Calibri" w:eastAsia="Times New Roman" w:hAnsi="Calibri" w:cs="Times New Roman"/>
                <w:sz w:val="20"/>
                <w:szCs w:val="20"/>
              </w:rPr>
              <w:t>100%</w:t>
            </w:r>
          </w:p>
        </w:tc>
        <w:tc>
          <w:tcPr>
            <w:tcW w:w="772" w:type="dxa"/>
            <w:tcBorders>
              <w:top w:val="nil"/>
              <w:left w:val="nil"/>
              <w:bottom w:val="single" w:sz="4" w:space="0" w:color="auto"/>
              <w:right w:val="single" w:sz="4" w:space="0" w:color="auto"/>
            </w:tcBorders>
            <w:shd w:val="clear" w:color="000000" w:fill="FFFFFF"/>
            <w:noWrap/>
            <w:vAlign w:val="bottom"/>
            <w:hideMark/>
          </w:tcPr>
          <w:p w14:paraId="4C0A29F0" w14:textId="77777777" w:rsidR="00A10D9E" w:rsidRPr="00A10D9E" w:rsidRDefault="00A10D9E" w:rsidP="00A10D9E">
            <w:pPr>
              <w:jc w:val="right"/>
              <w:rPr>
                <w:rFonts w:ascii="Calibri" w:eastAsia="Times New Roman" w:hAnsi="Calibri" w:cs="Times New Roman"/>
                <w:sz w:val="20"/>
                <w:szCs w:val="20"/>
              </w:rPr>
            </w:pPr>
            <w:r w:rsidRPr="00A10D9E">
              <w:rPr>
                <w:rFonts w:ascii="Calibri" w:eastAsia="Times New Roman" w:hAnsi="Calibri" w:cs="Times New Roman"/>
                <w:sz w:val="20"/>
                <w:szCs w:val="20"/>
              </w:rPr>
              <w:t>10%</w:t>
            </w:r>
          </w:p>
        </w:tc>
        <w:tc>
          <w:tcPr>
            <w:tcW w:w="1311" w:type="dxa"/>
            <w:tcBorders>
              <w:top w:val="nil"/>
              <w:left w:val="nil"/>
              <w:bottom w:val="single" w:sz="4" w:space="0" w:color="auto"/>
              <w:right w:val="single" w:sz="4" w:space="0" w:color="auto"/>
            </w:tcBorders>
            <w:shd w:val="clear" w:color="000000" w:fill="FFFFFF"/>
            <w:noWrap/>
            <w:vAlign w:val="bottom"/>
            <w:hideMark/>
          </w:tcPr>
          <w:p w14:paraId="3CF7AE4F" w14:textId="77777777" w:rsidR="00A10D9E" w:rsidRPr="00A10D9E" w:rsidRDefault="00A10D9E" w:rsidP="00A10D9E">
            <w:pPr>
              <w:jc w:val="center"/>
              <w:rPr>
                <w:rFonts w:ascii="Calibri" w:eastAsia="Times New Roman" w:hAnsi="Calibri" w:cs="Times New Roman"/>
                <w:sz w:val="20"/>
                <w:szCs w:val="20"/>
              </w:rPr>
            </w:pPr>
            <w:r w:rsidRPr="00A10D9E">
              <w:rPr>
                <w:rFonts w:ascii="Calibri" w:eastAsia="Times New Roman" w:hAnsi="Calibri" w:cs="Times New Roman"/>
                <w:sz w:val="20"/>
                <w:szCs w:val="20"/>
              </w:rPr>
              <w:t>100%</w:t>
            </w:r>
          </w:p>
        </w:tc>
      </w:tr>
      <w:tr w:rsidR="00A10D9E" w:rsidRPr="00A10D9E" w14:paraId="00441921" w14:textId="77777777" w:rsidTr="00A10D9E">
        <w:trPr>
          <w:trHeight w:val="280"/>
        </w:trPr>
        <w:tc>
          <w:tcPr>
            <w:tcW w:w="2425" w:type="dxa"/>
            <w:tcBorders>
              <w:top w:val="nil"/>
              <w:left w:val="single" w:sz="8" w:space="0" w:color="auto"/>
              <w:bottom w:val="single" w:sz="4" w:space="0" w:color="auto"/>
              <w:right w:val="single" w:sz="4" w:space="0" w:color="auto"/>
            </w:tcBorders>
            <w:shd w:val="clear" w:color="auto" w:fill="auto"/>
            <w:noWrap/>
            <w:vAlign w:val="bottom"/>
            <w:hideMark/>
          </w:tcPr>
          <w:p w14:paraId="299A08A2" w14:textId="77777777" w:rsidR="00A10D9E" w:rsidRPr="00A10D9E" w:rsidRDefault="00A10D9E" w:rsidP="00A10D9E">
            <w:pPr>
              <w:rPr>
                <w:rFonts w:ascii="Calibri" w:eastAsia="Times New Roman" w:hAnsi="Calibri" w:cs="Times New Roman"/>
                <w:sz w:val="20"/>
                <w:szCs w:val="20"/>
              </w:rPr>
            </w:pPr>
            <w:r w:rsidRPr="00A10D9E">
              <w:rPr>
                <w:rFonts w:ascii="Calibri" w:eastAsia="Times New Roman" w:hAnsi="Calibri" w:cs="Times New Roman"/>
                <w:sz w:val="20"/>
                <w:szCs w:val="20"/>
              </w:rPr>
              <w:t>moderate</w:t>
            </w:r>
          </w:p>
        </w:tc>
        <w:tc>
          <w:tcPr>
            <w:tcW w:w="772" w:type="dxa"/>
            <w:tcBorders>
              <w:top w:val="nil"/>
              <w:left w:val="nil"/>
              <w:bottom w:val="single" w:sz="4" w:space="0" w:color="auto"/>
              <w:right w:val="single" w:sz="4" w:space="0" w:color="auto"/>
            </w:tcBorders>
            <w:shd w:val="clear" w:color="000000" w:fill="FFFFFF"/>
            <w:noWrap/>
            <w:vAlign w:val="bottom"/>
            <w:hideMark/>
          </w:tcPr>
          <w:p w14:paraId="1549FCDB" w14:textId="77777777" w:rsidR="00A10D9E" w:rsidRPr="00A10D9E" w:rsidRDefault="00A10D9E" w:rsidP="00A10D9E">
            <w:pPr>
              <w:jc w:val="center"/>
              <w:rPr>
                <w:rFonts w:ascii="Calibri" w:eastAsia="Times New Roman" w:hAnsi="Calibri" w:cs="Times New Roman"/>
                <w:sz w:val="20"/>
                <w:szCs w:val="20"/>
              </w:rPr>
            </w:pPr>
            <w:r w:rsidRPr="00A10D9E">
              <w:rPr>
                <w:rFonts w:ascii="Calibri" w:eastAsia="Times New Roman" w:hAnsi="Calibri" w:cs="Times New Roman"/>
                <w:sz w:val="20"/>
                <w:szCs w:val="20"/>
              </w:rPr>
              <w:t>50%</w:t>
            </w:r>
          </w:p>
        </w:tc>
        <w:tc>
          <w:tcPr>
            <w:tcW w:w="1304" w:type="dxa"/>
            <w:tcBorders>
              <w:top w:val="nil"/>
              <w:left w:val="nil"/>
              <w:bottom w:val="single" w:sz="4" w:space="0" w:color="auto"/>
              <w:right w:val="single" w:sz="4" w:space="0" w:color="auto"/>
            </w:tcBorders>
            <w:shd w:val="clear" w:color="000000" w:fill="FFFFFF"/>
            <w:noWrap/>
            <w:vAlign w:val="bottom"/>
            <w:hideMark/>
          </w:tcPr>
          <w:p w14:paraId="52761468" w14:textId="77777777" w:rsidR="00A10D9E" w:rsidRPr="00A10D9E" w:rsidRDefault="00A10D9E" w:rsidP="00A10D9E">
            <w:pPr>
              <w:jc w:val="center"/>
              <w:rPr>
                <w:rFonts w:ascii="Calibri" w:eastAsia="Times New Roman" w:hAnsi="Calibri" w:cs="Times New Roman"/>
                <w:sz w:val="20"/>
                <w:szCs w:val="20"/>
              </w:rPr>
            </w:pPr>
            <w:r w:rsidRPr="00A10D9E">
              <w:rPr>
                <w:rFonts w:ascii="Calibri" w:eastAsia="Times New Roman" w:hAnsi="Calibri" w:cs="Times New Roman"/>
                <w:sz w:val="20"/>
                <w:szCs w:val="20"/>
              </w:rPr>
              <w:t>40%</w:t>
            </w:r>
          </w:p>
        </w:tc>
        <w:tc>
          <w:tcPr>
            <w:tcW w:w="772" w:type="dxa"/>
            <w:tcBorders>
              <w:top w:val="nil"/>
              <w:left w:val="nil"/>
              <w:bottom w:val="single" w:sz="4" w:space="0" w:color="auto"/>
              <w:right w:val="single" w:sz="4" w:space="0" w:color="auto"/>
            </w:tcBorders>
            <w:shd w:val="clear" w:color="000000" w:fill="FFFFFF"/>
            <w:noWrap/>
            <w:vAlign w:val="bottom"/>
            <w:hideMark/>
          </w:tcPr>
          <w:p w14:paraId="16F9B220" w14:textId="77777777" w:rsidR="00A10D9E" w:rsidRPr="00A10D9E" w:rsidRDefault="00A10D9E" w:rsidP="00A10D9E">
            <w:pPr>
              <w:jc w:val="right"/>
              <w:rPr>
                <w:rFonts w:ascii="Calibri" w:eastAsia="Times New Roman" w:hAnsi="Calibri" w:cs="Times New Roman"/>
                <w:sz w:val="20"/>
                <w:szCs w:val="20"/>
              </w:rPr>
            </w:pPr>
            <w:r w:rsidRPr="00A10D9E">
              <w:rPr>
                <w:rFonts w:ascii="Calibri" w:eastAsia="Times New Roman" w:hAnsi="Calibri" w:cs="Times New Roman"/>
                <w:sz w:val="20"/>
                <w:szCs w:val="20"/>
              </w:rPr>
              <w:t>20%</w:t>
            </w:r>
          </w:p>
        </w:tc>
        <w:tc>
          <w:tcPr>
            <w:tcW w:w="1304" w:type="dxa"/>
            <w:tcBorders>
              <w:top w:val="nil"/>
              <w:left w:val="nil"/>
              <w:bottom w:val="single" w:sz="4" w:space="0" w:color="auto"/>
              <w:right w:val="single" w:sz="4" w:space="0" w:color="auto"/>
            </w:tcBorders>
            <w:shd w:val="clear" w:color="000000" w:fill="FFFFFF"/>
            <w:noWrap/>
            <w:vAlign w:val="bottom"/>
            <w:hideMark/>
          </w:tcPr>
          <w:p w14:paraId="04332F06" w14:textId="77777777" w:rsidR="00A10D9E" w:rsidRPr="00A10D9E" w:rsidRDefault="00A10D9E" w:rsidP="00A10D9E">
            <w:pPr>
              <w:jc w:val="center"/>
              <w:rPr>
                <w:rFonts w:ascii="Calibri" w:eastAsia="Times New Roman" w:hAnsi="Calibri" w:cs="Times New Roman"/>
                <w:sz w:val="20"/>
                <w:szCs w:val="20"/>
              </w:rPr>
            </w:pPr>
            <w:r w:rsidRPr="00A10D9E">
              <w:rPr>
                <w:rFonts w:ascii="Calibri" w:eastAsia="Times New Roman" w:hAnsi="Calibri" w:cs="Times New Roman"/>
                <w:sz w:val="20"/>
                <w:szCs w:val="20"/>
              </w:rPr>
              <w:t>40%</w:t>
            </w:r>
          </w:p>
        </w:tc>
        <w:tc>
          <w:tcPr>
            <w:tcW w:w="772" w:type="dxa"/>
            <w:tcBorders>
              <w:top w:val="nil"/>
              <w:left w:val="nil"/>
              <w:bottom w:val="single" w:sz="4" w:space="0" w:color="auto"/>
              <w:right w:val="single" w:sz="4" w:space="0" w:color="auto"/>
            </w:tcBorders>
            <w:shd w:val="clear" w:color="000000" w:fill="FFFFFF"/>
            <w:noWrap/>
            <w:vAlign w:val="bottom"/>
            <w:hideMark/>
          </w:tcPr>
          <w:p w14:paraId="3A9FB1E7" w14:textId="77777777" w:rsidR="00A10D9E" w:rsidRPr="00A10D9E" w:rsidRDefault="00A10D9E" w:rsidP="00A10D9E">
            <w:pPr>
              <w:jc w:val="right"/>
              <w:rPr>
                <w:rFonts w:ascii="Calibri" w:eastAsia="Times New Roman" w:hAnsi="Calibri" w:cs="Times New Roman"/>
                <w:sz w:val="20"/>
                <w:szCs w:val="20"/>
              </w:rPr>
            </w:pPr>
            <w:r w:rsidRPr="00A10D9E">
              <w:rPr>
                <w:rFonts w:ascii="Calibri" w:eastAsia="Times New Roman" w:hAnsi="Calibri" w:cs="Times New Roman"/>
                <w:sz w:val="20"/>
                <w:szCs w:val="20"/>
              </w:rPr>
              <w:t>10%</w:t>
            </w:r>
          </w:p>
        </w:tc>
        <w:tc>
          <w:tcPr>
            <w:tcW w:w="1311" w:type="dxa"/>
            <w:tcBorders>
              <w:top w:val="nil"/>
              <w:left w:val="nil"/>
              <w:bottom w:val="single" w:sz="4" w:space="0" w:color="auto"/>
              <w:right w:val="single" w:sz="4" w:space="0" w:color="auto"/>
            </w:tcBorders>
            <w:shd w:val="clear" w:color="000000" w:fill="FFFFFF"/>
            <w:noWrap/>
            <w:vAlign w:val="bottom"/>
            <w:hideMark/>
          </w:tcPr>
          <w:p w14:paraId="1B78B1A7" w14:textId="77777777" w:rsidR="00A10D9E" w:rsidRPr="00A10D9E" w:rsidRDefault="00A10D9E" w:rsidP="00A10D9E">
            <w:pPr>
              <w:jc w:val="center"/>
              <w:rPr>
                <w:rFonts w:ascii="Calibri" w:eastAsia="Times New Roman" w:hAnsi="Calibri" w:cs="Times New Roman"/>
                <w:sz w:val="20"/>
                <w:szCs w:val="20"/>
              </w:rPr>
            </w:pPr>
            <w:r w:rsidRPr="00A10D9E">
              <w:rPr>
                <w:rFonts w:ascii="Calibri" w:eastAsia="Times New Roman" w:hAnsi="Calibri" w:cs="Times New Roman"/>
                <w:sz w:val="20"/>
                <w:szCs w:val="20"/>
              </w:rPr>
              <w:t>40%</w:t>
            </w:r>
          </w:p>
        </w:tc>
      </w:tr>
      <w:tr w:rsidR="00A10D9E" w:rsidRPr="00A10D9E" w14:paraId="19811836" w14:textId="77777777" w:rsidTr="00A10D9E">
        <w:trPr>
          <w:trHeight w:val="280"/>
        </w:trPr>
        <w:tc>
          <w:tcPr>
            <w:tcW w:w="2425" w:type="dxa"/>
            <w:tcBorders>
              <w:top w:val="nil"/>
              <w:left w:val="single" w:sz="8" w:space="0" w:color="auto"/>
              <w:bottom w:val="single" w:sz="4" w:space="0" w:color="auto"/>
              <w:right w:val="single" w:sz="4" w:space="0" w:color="auto"/>
            </w:tcBorders>
            <w:shd w:val="clear" w:color="auto" w:fill="auto"/>
            <w:noWrap/>
            <w:vAlign w:val="bottom"/>
            <w:hideMark/>
          </w:tcPr>
          <w:p w14:paraId="4F84C913" w14:textId="77777777" w:rsidR="00A10D9E" w:rsidRPr="00A10D9E" w:rsidRDefault="00A10D9E" w:rsidP="00A10D9E">
            <w:pPr>
              <w:rPr>
                <w:rFonts w:ascii="Calibri" w:eastAsia="Times New Roman" w:hAnsi="Calibri" w:cs="Times New Roman"/>
                <w:sz w:val="20"/>
                <w:szCs w:val="20"/>
              </w:rPr>
            </w:pPr>
            <w:r w:rsidRPr="00A10D9E">
              <w:rPr>
                <w:rFonts w:ascii="Calibri" w:eastAsia="Times New Roman" w:hAnsi="Calibri" w:cs="Times New Roman"/>
                <w:sz w:val="20"/>
                <w:szCs w:val="20"/>
              </w:rPr>
              <w:t>low</w:t>
            </w:r>
          </w:p>
        </w:tc>
        <w:tc>
          <w:tcPr>
            <w:tcW w:w="772" w:type="dxa"/>
            <w:tcBorders>
              <w:top w:val="nil"/>
              <w:left w:val="nil"/>
              <w:bottom w:val="single" w:sz="4" w:space="0" w:color="auto"/>
              <w:right w:val="single" w:sz="4" w:space="0" w:color="auto"/>
            </w:tcBorders>
            <w:shd w:val="clear" w:color="000000" w:fill="FFFFFF"/>
            <w:noWrap/>
            <w:vAlign w:val="bottom"/>
            <w:hideMark/>
          </w:tcPr>
          <w:p w14:paraId="3422BFB0" w14:textId="77777777" w:rsidR="00A10D9E" w:rsidRPr="00A10D9E" w:rsidRDefault="00A10D9E" w:rsidP="00A10D9E">
            <w:pPr>
              <w:jc w:val="center"/>
              <w:rPr>
                <w:rFonts w:ascii="Calibri" w:eastAsia="Times New Roman" w:hAnsi="Calibri" w:cs="Times New Roman"/>
                <w:sz w:val="20"/>
                <w:szCs w:val="20"/>
              </w:rPr>
            </w:pPr>
            <w:r w:rsidRPr="00A10D9E">
              <w:rPr>
                <w:rFonts w:ascii="Calibri" w:eastAsia="Times New Roman" w:hAnsi="Calibri" w:cs="Times New Roman"/>
                <w:sz w:val="20"/>
                <w:szCs w:val="20"/>
              </w:rPr>
              <w:t>20%</w:t>
            </w:r>
          </w:p>
        </w:tc>
        <w:tc>
          <w:tcPr>
            <w:tcW w:w="1304" w:type="dxa"/>
            <w:tcBorders>
              <w:top w:val="nil"/>
              <w:left w:val="nil"/>
              <w:bottom w:val="single" w:sz="4" w:space="0" w:color="auto"/>
              <w:right w:val="single" w:sz="4" w:space="0" w:color="auto"/>
            </w:tcBorders>
            <w:shd w:val="clear" w:color="000000" w:fill="FFFFFF"/>
            <w:noWrap/>
            <w:vAlign w:val="bottom"/>
            <w:hideMark/>
          </w:tcPr>
          <w:p w14:paraId="34208660" w14:textId="77777777" w:rsidR="00A10D9E" w:rsidRPr="00A10D9E" w:rsidRDefault="00A10D9E" w:rsidP="00A10D9E">
            <w:pPr>
              <w:jc w:val="center"/>
              <w:rPr>
                <w:rFonts w:ascii="Calibri" w:eastAsia="Times New Roman" w:hAnsi="Calibri" w:cs="Times New Roman"/>
                <w:sz w:val="20"/>
                <w:szCs w:val="20"/>
              </w:rPr>
            </w:pPr>
            <w:r w:rsidRPr="00A10D9E">
              <w:rPr>
                <w:rFonts w:ascii="Calibri" w:eastAsia="Times New Roman" w:hAnsi="Calibri" w:cs="Times New Roman"/>
                <w:sz w:val="20"/>
                <w:szCs w:val="20"/>
              </w:rPr>
              <w:t>20%</w:t>
            </w:r>
          </w:p>
        </w:tc>
        <w:tc>
          <w:tcPr>
            <w:tcW w:w="772" w:type="dxa"/>
            <w:tcBorders>
              <w:top w:val="nil"/>
              <w:left w:val="nil"/>
              <w:bottom w:val="single" w:sz="4" w:space="0" w:color="auto"/>
              <w:right w:val="single" w:sz="4" w:space="0" w:color="auto"/>
            </w:tcBorders>
            <w:shd w:val="clear" w:color="000000" w:fill="FFFFFF"/>
            <w:noWrap/>
            <w:vAlign w:val="bottom"/>
            <w:hideMark/>
          </w:tcPr>
          <w:p w14:paraId="5ECFD6A2" w14:textId="77777777" w:rsidR="00A10D9E" w:rsidRPr="00A10D9E" w:rsidRDefault="00A10D9E" w:rsidP="00A10D9E">
            <w:pPr>
              <w:jc w:val="right"/>
              <w:rPr>
                <w:rFonts w:ascii="Calibri" w:eastAsia="Times New Roman" w:hAnsi="Calibri" w:cs="Times New Roman"/>
                <w:sz w:val="20"/>
                <w:szCs w:val="20"/>
              </w:rPr>
            </w:pPr>
            <w:r w:rsidRPr="00A10D9E">
              <w:rPr>
                <w:rFonts w:ascii="Calibri" w:eastAsia="Times New Roman" w:hAnsi="Calibri" w:cs="Times New Roman"/>
                <w:sz w:val="20"/>
                <w:szCs w:val="20"/>
              </w:rPr>
              <w:t>60%</w:t>
            </w:r>
          </w:p>
        </w:tc>
        <w:tc>
          <w:tcPr>
            <w:tcW w:w="1304" w:type="dxa"/>
            <w:tcBorders>
              <w:top w:val="nil"/>
              <w:left w:val="nil"/>
              <w:bottom w:val="single" w:sz="4" w:space="0" w:color="auto"/>
              <w:right w:val="single" w:sz="4" w:space="0" w:color="auto"/>
            </w:tcBorders>
            <w:shd w:val="clear" w:color="000000" w:fill="FFFFFF"/>
            <w:noWrap/>
            <w:vAlign w:val="bottom"/>
            <w:hideMark/>
          </w:tcPr>
          <w:p w14:paraId="6669E2CF" w14:textId="77777777" w:rsidR="00A10D9E" w:rsidRPr="00A10D9E" w:rsidRDefault="00A10D9E" w:rsidP="00A10D9E">
            <w:pPr>
              <w:jc w:val="center"/>
              <w:rPr>
                <w:rFonts w:ascii="Calibri" w:eastAsia="Times New Roman" w:hAnsi="Calibri" w:cs="Times New Roman"/>
                <w:sz w:val="20"/>
                <w:szCs w:val="20"/>
              </w:rPr>
            </w:pPr>
            <w:r w:rsidRPr="00A10D9E">
              <w:rPr>
                <w:rFonts w:ascii="Calibri" w:eastAsia="Times New Roman" w:hAnsi="Calibri" w:cs="Times New Roman"/>
                <w:sz w:val="20"/>
                <w:szCs w:val="20"/>
              </w:rPr>
              <w:t>20%</w:t>
            </w:r>
          </w:p>
        </w:tc>
        <w:tc>
          <w:tcPr>
            <w:tcW w:w="772" w:type="dxa"/>
            <w:tcBorders>
              <w:top w:val="nil"/>
              <w:left w:val="nil"/>
              <w:bottom w:val="single" w:sz="4" w:space="0" w:color="auto"/>
              <w:right w:val="single" w:sz="4" w:space="0" w:color="auto"/>
            </w:tcBorders>
            <w:shd w:val="clear" w:color="000000" w:fill="FFFFFF"/>
            <w:noWrap/>
            <w:vAlign w:val="bottom"/>
            <w:hideMark/>
          </w:tcPr>
          <w:p w14:paraId="072F16DD" w14:textId="77777777" w:rsidR="00A10D9E" w:rsidRPr="00A10D9E" w:rsidRDefault="00A10D9E" w:rsidP="00A10D9E">
            <w:pPr>
              <w:jc w:val="right"/>
              <w:rPr>
                <w:rFonts w:ascii="Calibri" w:eastAsia="Times New Roman" w:hAnsi="Calibri" w:cs="Times New Roman"/>
                <w:sz w:val="20"/>
                <w:szCs w:val="20"/>
              </w:rPr>
            </w:pPr>
            <w:r w:rsidRPr="00A10D9E">
              <w:rPr>
                <w:rFonts w:ascii="Calibri" w:eastAsia="Times New Roman" w:hAnsi="Calibri" w:cs="Times New Roman"/>
                <w:sz w:val="20"/>
                <w:szCs w:val="20"/>
              </w:rPr>
              <w:t>80%</w:t>
            </w:r>
          </w:p>
        </w:tc>
        <w:tc>
          <w:tcPr>
            <w:tcW w:w="1311" w:type="dxa"/>
            <w:tcBorders>
              <w:top w:val="nil"/>
              <w:left w:val="nil"/>
              <w:bottom w:val="single" w:sz="4" w:space="0" w:color="auto"/>
              <w:right w:val="single" w:sz="4" w:space="0" w:color="auto"/>
            </w:tcBorders>
            <w:shd w:val="clear" w:color="000000" w:fill="FFFFFF"/>
            <w:noWrap/>
            <w:vAlign w:val="bottom"/>
            <w:hideMark/>
          </w:tcPr>
          <w:p w14:paraId="348CD2D5" w14:textId="77777777" w:rsidR="00A10D9E" w:rsidRPr="00A10D9E" w:rsidRDefault="00A10D9E" w:rsidP="00A10D9E">
            <w:pPr>
              <w:jc w:val="center"/>
              <w:rPr>
                <w:rFonts w:ascii="Calibri" w:eastAsia="Times New Roman" w:hAnsi="Calibri" w:cs="Times New Roman"/>
                <w:sz w:val="20"/>
                <w:szCs w:val="20"/>
              </w:rPr>
            </w:pPr>
            <w:r w:rsidRPr="00A10D9E">
              <w:rPr>
                <w:rFonts w:ascii="Calibri" w:eastAsia="Times New Roman" w:hAnsi="Calibri" w:cs="Times New Roman"/>
                <w:sz w:val="20"/>
                <w:szCs w:val="20"/>
              </w:rPr>
              <w:t>20%</w:t>
            </w:r>
          </w:p>
        </w:tc>
      </w:tr>
      <w:tr w:rsidR="00A10D9E" w:rsidRPr="00A10D9E" w14:paraId="4103889F" w14:textId="77777777" w:rsidTr="00A10D9E">
        <w:trPr>
          <w:trHeight w:val="330"/>
        </w:trPr>
        <w:tc>
          <w:tcPr>
            <w:tcW w:w="2425" w:type="dxa"/>
            <w:tcBorders>
              <w:top w:val="nil"/>
              <w:left w:val="single" w:sz="8" w:space="0" w:color="auto"/>
              <w:bottom w:val="single" w:sz="8" w:space="0" w:color="auto"/>
              <w:right w:val="single" w:sz="4" w:space="0" w:color="auto"/>
            </w:tcBorders>
            <w:shd w:val="clear" w:color="000000" w:fill="FFFFFF"/>
            <w:noWrap/>
            <w:vAlign w:val="bottom"/>
            <w:hideMark/>
          </w:tcPr>
          <w:p w14:paraId="088A9980" w14:textId="77777777" w:rsidR="00A10D9E" w:rsidRPr="00A10D9E" w:rsidRDefault="00A10D9E" w:rsidP="00A10D9E">
            <w:pPr>
              <w:rPr>
                <w:rFonts w:ascii="Calibri" w:eastAsia="Times New Roman" w:hAnsi="Calibri" w:cs="Times New Roman"/>
                <w:b/>
                <w:bCs/>
                <w:sz w:val="20"/>
                <w:szCs w:val="20"/>
              </w:rPr>
            </w:pPr>
            <w:r w:rsidRPr="00A10D9E">
              <w:rPr>
                <w:rFonts w:ascii="Calibri" w:eastAsia="Times New Roman" w:hAnsi="Calibri" w:cs="Times New Roman"/>
                <w:b/>
                <w:bCs/>
                <w:sz w:val="20"/>
                <w:szCs w:val="20"/>
              </w:rPr>
              <w:t>Overall fire mortality</w:t>
            </w:r>
          </w:p>
        </w:tc>
        <w:tc>
          <w:tcPr>
            <w:tcW w:w="2076" w:type="dxa"/>
            <w:gridSpan w:val="2"/>
            <w:tcBorders>
              <w:top w:val="single" w:sz="4" w:space="0" w:color="auto"/>
              <w:left w:val="nil"/>
              <w:bottom w:val="single" w:sz="8" w:space="0" w:color="auto"/>
              <w:right w:val="single" w:sz="4" w:space="0" w:color="auto"/>
            </w:tcBorders>
            <w:shd w:val="clear" w:color="000000" w:fill="F2DCDB"/>
            <w:noWrap/>
            <w:vAlign w:val="bottom"/>
            <w:hideMark/>
          </w:tcPr>
          <w:p w14:paraId="482F7AB9" w14:textId="77777777" w:rsidR="00A10D9E" w:rsidRPr="00A10D9E" w:rsidRDefault="00A10D9E" w:rsidP="00A10D9E">
            <w:pPr>
              <w:jc w:val="center"/>
              <w:rPr>
                <w:rFonts w:ascii="Calibri" w:eastAsia="Times New Roman" w:hAnsi="Calibri" w:cs="Times New Roman"/>
                <w:b/>
                <w:bCs/>
                <w:sz w:val="20"/>
                <w:szCs w:val="20"/>
              </w:rPr>
            </w:pPr>
            <w:r w:rsidRPr="00A10D9E">
              <w:rPr>
                <w:rFonts w:ascii="Calibri" w:eastAsia="Times New Roman" w:hAnsi="Calibri" w:cs="Times New Roman"/>
                <w:b/>
                <w:bCs/>
                <w:sz w:val="20"/>
                <w:szCs w:val="20"/>
              </w:rPr>
              <w:t>54%</w:t>
            </w:r>
          </w:p>
        </w:tc>
        <w:tc>
          <w:tcPr>
            <w:tcW w:w="2076" w:type="dxa"/>
            <w:gridSpan w:val="2"/>
            <w:tcBorders>
              <w:top w:val="single" w:sz="4" w:space="0" w:color="auto"/>
              <w:left w:val="nil"/>
              <w:bottom w:val="single" w:sz="8" w:space="0" w:color="auto"/>
              <w:right w:val="single" w:sz="4" w:space="0" w:color="auto"/>
            </w:tcBorders>
            <w:shd w:val="clear" w:color="000000" w:fill="E6B8B7"/>
            <w:noWrap/>
            <w:vAlign w:val="bottom"/>
            <w:hideMark/>
          </w:tcPr>
          <w:p w14:paraId="6083E006" w14:textId="77777777" w:rsidR="00A10D9E" w:rsidRPr="00A10D9E" w:rsidRDefault="00A10D9E" w:rsidP="00A10D9E">
            <w:pPr>
              <w:jc w:val="center"/>
              <w:rPr>
                <w:rFonts w:ascii="Calibri" w:eastAsia="Times New Roman" w:hAnsi="Calibri" w:cs="Times New Roman"/>
                <w:b/>
                <w:bCs/>
                <w:sz w:val="20"/>
                <w:szCs w:val="20"/>
              </w:rPr>
            </w:pPr>
            <w:r w:rsidRPr="00A10D9E">
              <w:rPr>
                <w:rFonts w:ascii="Calibri" w:eastAsia="Times New Roman" w:hAnsi="Calibri" w:cs="Times New Roman"/>
                <w:b/>
                <w:bCs/>
                <w:sz w:val="20"/>
                <w:szCs w:val="20"/>
              </w:rPr>
              <w:t>40%</w:t>
            </w:r>
          </w:p>
        </w:tc>
        <w:tc>
          <w:tcPr>
            <w:tcW w:w="2083" w:type="dxa"/>
            <w:gridSpan w:val="2"/>
            <w:tcBorders>
              <w:top w:val="single" w:sz="4" w:space="0" w:color="auto"/>
              <w:left w:val="nil"/>
              <w:bottom w:val="single" w:sz="8" w:space="0" w:color="auto"/>
              <w:right w:val="single" w:sz="8" w:space="0" w:color="000000"/>
            </w:tcBorders>
            <w:shd w:val="clear" w:color="000000" w:fill="DA9694"/>
            <w:noWrap/>
            <w:vAlign w:val="bottom"/>
            <w:hideMark/>
          </w:tcPr>
          <w:p w14:paraId="3E3637B2" w14:textId="77777777" w:rsidR="00A10D9E" w:rsidRPr="00A10D9E" w:rsidRDefault="00A10D9E" w:rsidP="00A10D9E">
            <w:pPr>
              <w:jc w:val="center"/>
              <w:rPr>
                <w:rFonts w:ascii="Calibri" w:eastAsia="Times New Roman" w:hAnsi="Calibri" w:cs="Times New Roman"/>
                <w:b/>
                <w:bCs/>
                <w:sz w:val="20"/>
                <w:szCs w:val="20"/>
              </w:rPr>
            </w:pPr>
            <w:r w:rsidRPr="00A10D9E">
              <w:rPr>
                <w:rFonts w:ascii="Calibri" w:eastAsia="Times New Roman" w:hAnsi="Calibri" w:cs="Times New Roman"/>
                <w:b/>
                <w:bCs/>
                <w:sz w:val="20"/>
                <w:szCs w:val="20"/>
              </w:rPr>
              <w:t>30%</w:t>
            </w:r>
          </w:p>
        </w:tc>
      </w:tr>
    </w:tbl>
    <w:p w14:paraId="664B4F3B" w14:textId="77777777" w:rsidR="00A10D9E" w:rsidRDefault="00A10D9E" w:rsidP="004E7EE9"/>
    <w:p w14:paraId="61DDB54C" w14:textId="7ACA780A" w:rsidR="00FF7D74" w:rsidRDefault="00112B28" w:rsidP="00112B28">
      <w:r>
        <w:t xml:space="preserve">A full comparison of the carbon benefits of different types of fuels treatments with a no treatment alternative requires tracking the changes in all forest stand carbon pools over a project period (we use a 40 year project with an estimated 1%/year fire probability) where wildfire severity is assumed to be reduced by the treatments. For the no treatment baseline, we assume that the wildfire will burn the whole site with the distribution of natural wildfire severity shown in table </w:t>
      </w:r>
      <w:r w:rsidR="0033348B">
        <w:t>5</w:t>
      </w:r>
      <w:r>
        <w:t xml:space="preserve">. To bracket the potential impact on wildfire severity of the treatments, we model two levels of treatment effectiveness as well as three levels of area burned (same as with wildfire, 20% less area burned, 40% less area burned). </w:t>
      </w:r>
      <w:r w:rsidR="00D57E02">
        <w:t xml:space="preserve">Very optimistic scenarios often assume large reductions in both fire severity and burned area after treatments. </w:t>
      </w:r>
      <w:r w:rsidR="00FF7D74">
        <w:t xml:space="preserve">The purpose of </w:t>
      </w:r>
      <w:r w:rsidR="00BA78BB">
        <w:t>using a wide range of outcomes</w:t>
      </w:r>
      <w:r w:rsidR="00FF7D74">
        <w:t xml:space="preserve"> is to provide a bracket of </w:t>
      </w:r>
      <w:r w:rsidR="00FF7D74">
        <w:lastRenderedPageBreak/>
        <w:t xml:space="preserve">the potential impacts and to highlight the role of different assumptions on the effectiveness of different treatments. The </w:t>
      </w:r>
      <w:r w:rsidR="009B6C33">
        <w:t>best way to improve the accuracy of the model is to design, implement and measure projec</w:t>
      </w:r>
      <w:r w:rsidR="00BA78BB">
        <w:t>t</w:t>
      </w:r>
      <w:r w:rsidR="009B6C33">
        <w:t xml:space="preserve">s to provide improvement to the </w:t>
      </w:r>
      <w:r w:rsidR="00FF7D74">
        <w:t xml:space="preserve">coefficients </w:t>
      </w:r>
      <w:r w:rsidR="009B6C33">
        <w:t>that are currently taken from the literature and expert opinions</w:t>
      </w:r>
      <w:r w:rsidR="00FF7D74">
        <w:t xml:space="preserve">. </w:t>
      </w:r>
    </w:p>
    <w:p w14:paraId="11810379" w14:textId="77777777" w:rsidR="00FF7D74" w:rsidRDefault="00FF7D74"/>
    <w:p w14:paraId="1D6EEAC9" w14:textId="64A5B52E" w:rsidR="00FF7D74" w:rsidRDefault="00142746">
      <w:proofErr w:type="gramStart"/>
      <w:r>
        <w:t>Comparison of no treatment and basic treatment assuming that the future wildfire burns 100% of both areas.</w:t>
      </w:r>
      <w:proofErr w:type="gramEnd"/>
      <w:r>
        <w:t xml:space="preserve"> </w:t>
      </w:r>
      <w:r w:rsidR="00E2753C">
        <w:t xml:space="preserve">The basic logic is that the higher the fire </w:t>
      </w:r>
      <w:proofErr w:type="gramStart"/>
      <w:r w:rsidR="00E2753C">
        <w:t>severity</w:t>
      </w:r>
      <w:r w:rsidR="00FC664E">
        <w:t>,</w:t>
      </w:r>
      <w:r w:rsidR="00E2753C">
        <w:t xml:space="preserve"> the greater to loss of carbon in live</w:t>
      </w:r>
      <w:proofErr w:type="gramEnd"/>
      <w:r w:rsidR="00E2753C">
        <w:t xml:space="preserve"> trees, dead trees, down wood, forest floor and the soil. The assumption </w:t>
      </w:r>
      <w:r w:rsidR="009B6C33">
        <w:t xml:space="preserve">is </w:t>
      </w:r>
      <w:r w:rsidR="00E2753C">
        <w:t>that treatments reduce the severity</w:t>
      </w:r>
      <w:r w:rsidR="009B6C33">
        <w:t xml:space="preserve"> of future wildfires and therefore reduce the carbon losses from the multiple pools tracked in this model. </w:t>
      </w:r>
    </w:p>
    <w:p w14:paraId="757C150B" w14:textId="77777777" w:rsidR="006024FF" w:rsidRDefault="006024FF" w:rsidP="0070580A"/>
    <w:p w14:paraId="221A9424" w14:textId="5ECBEEF6" w:rsidR="006024FF" w:rsidRDefault="007528FD">
      <w:r>
        <w:t xml:space="preserve">The summary of six different effectiveness estimates across six different treatments illustrates the potential range of outcomes based on the same set of assumptions. </w:t>
      </w:r>
      <w:r w:rsidR="00DD426A">
        <w:t xml:space="preserve"> The initial forest stand 75 </w:t>
      </w:r>
      <w:proofErr w:type="spellStart"/>
      <w:r w:rsidR="00DD426A">
        <w:t>tonnes</w:t>
      </w:r>
      <w:proofErr w:type="spellEnd"/>
      <w:r w:rsidR="00DD426A">
        <w:t xml:space="preserve"> of carbon in live trees and 73 </w:t>
      </w:r>
      <w:proofErr w:type="spellStart"/>
      <w:r w:rsidR="00DD426A">
        <w:t>tonnes</w:t>
      </w:r>
      <w:proofErr w:type="spellEnd"/>
      <w:r w:rsidR="00DD426A">
        <w:t xml:space="preserve"> of carbon in dead trees, forest floor and soil at risk of loss to wildfires. </w:t>
      </w:r>
      <w:r w:rsidR="00EF4C8F">
        <w:t xml:space="preserve">In all cases except for very effective treatments in terms of both fire severity and fire area, the reduced amount of carbon burned in a future wildfire on a treated area plus the carbon removed in the treatments is still </w:t>
      </w:r>
      <w:r w:rsidR="00646A56">
        <w:t>less</w:t>
      </w:r>
      <w:r w:rsidR="00EF4C8F">
        <w:t xml:space="preserve"> than what was estimated to be lost if no treatments had been applied. </w:t>
      </w:r>
      <w:r w:rsidR="00646A56">
        <w:t>This conforms to other modeling exercises where none of the harvested material was productively used offsite</w:t>
      </w:r>
      <w:r w:rsidR="00646A56">
        <w:rPr>
          <w:rStyle w:val="FootnoteReference"/>
        </w:rPr>
        <w:footnoteReference w:id="6"/>
      </w:r>
      <w:r w:rsidR="00646A56">
        <w:t xml:space="preserve">. </w:t>
      </w:r>
      <w:r w:rsidR="00EF4C8F">
        <w:t xml:space="preserve">The </w:t>
      </w:r>
      <w:r w:rsidR="00646A56">
        <w:t xml:space="preserve">net </w:t>
      </w:r>
      <w:r w:rsidR="00EF4C8F">
        <w:t>climate benefits</w:t>
      </w:r>
      <w:r w:rsidR="00646A56">
        <w:t xml:space="preserve"> during the project</w:t>
      </w:r>
      <w:r w:rsidR="00EF4C8F">
        <w:t xml:space="preserve"> come from using the products as a biomass feedstock/</w:t>
      </w:r>
      <w:proofErr w:type="spellStart"/>
      <w:r w:rsidR="00EF4C8F">
        <w:t>sawlogs</w:t>
      </w:r>
      <w:proofErr w:type="spellEnd"/>
      <w:r w:rsidR="00EF4C8F">
        <w:t xml:space="preserve"> or </w:t>
      </w:r>
      <w:r w:rsidR="00CB61DE">
        <w:t>from the treated material adding to dead wood carbon on site.</w:t>
      </w:r>
      <w:r w:rsidR="00646A56">
        <w:t xml:space="preserve"> Post project benefits may also come if the treated stands have lower density dependent mortality and therefore higher net carbon sequestration rates. </w:t>
      </w:r>
    </w:p>
    <w:p w14:paraId="3E7C8052" w14:textId="77777777" w:rsidR="007C03C7" w:rsidRDefault="007C03C7"/>
    <w:p w14:paraId="49538D4D" w14:textId="77777777" w:rsidR="007C03C7" w:rsidRDefault="007C03C7"/>
    <w:p w14:paraId="25608FB4" w14:textId="77777777" w:rsidR="007C03C7" w:rsidRDefault="007C03C7"/>
    <w:p w14:paraId="04759FDF" w14:textId="77777777" w:rsidR="007C03C7" w:rsidRDefault="007C03C7"/>
    <w:p w14:paraId="2F82D952" w14:textId="77777777" w:rsidR="007C03C7" w:rsidRDefault="007C03C7"/>
    <w:p w14:paraId="49D7F82E" w14:textId="77777777" w:rsidR="007C03C7" w:rsidRDefault="007C03C7"/>
    <w:p w14:paraId="7D58CAEF" w14:textId="77777777" w:rsidR="007C03C7" w:rsidRDefault="007C03C7"/>
    <w:p w14:paraId="526E24F0" w14:textId="77777777" w:rsidR="007C03C7" w:rsidRDefault="007C03C7"/>
    <w:p w14:paraId="668BFD9A" w14:textId="77777777" w:rsidR="007C03C7" w:rsidRDefault="007C03C7"/>
    <w:p w14:paraId="238CE4CC" w14:textId="77777777" w:rsidR="007C03C7" w:rsidRDefault="007C03C7"/>
    <w:p w14:paraId="6F323681" w14:textId="77777777" w:rsidR="007C03C7" w:rsidRDefault="007C03C7"/>
    <w:p w14:paraId="7461EF3E" w14:textId="77777777" w:rsidR="007C03C7" w:rsidRDefault="007C03C7"/>
    <w:p w14:paraId="6C240B71" w14:textId="77777777" w:rsidR="007C03C7" w:rsidRDefault="007C03C7"/>
    <w:p w14:paraId="3DD7D9E0" w14:textId="77777777" w:rsidR="007C03C7" w:rsidRDefault="007C03C7"/>
    <w:p w14:paraId="1CCE288A" w14:textId="77777777" w:rsidR="007C03C7" w:rsidRDefault="007C03C7"/>
    <w:p w14:paraId="2BF5F885" w14:textId="77777777" w:rsidR="007C03C7" w:rsidRDefault="007C03C7"/>
    <w:p w14:paraId="164BDD9C" w14:textId="77777777" w:rsidR="007C03C7" w:rsidRDefault="007C03C7"/>
    <w:p w14:paraId="2783FD2F" w14:textId="77777777" w:rsidR="00F02585" w:rsidRDefault="00F02585"/>
    <w:p w14:paraId="0D94B2F1" w14:textId="0E753B56" w:rsidR="00F02585" w:rsidRDefault="00B74898">
      <w:r>
        <w:lastRenderedPageBreak/>
        <w:t xml:space="preserve">Table 6: </w:t>
      </w:r>
      <w:r w:rsidR="00913F78">
        <w:t>Results for scenario with 1% annual fire probability and no reduction in area burnt after treatments</w:t>
      </w:r>
    </w:p>
    <w:tbl>
      <w:tblPr>
        <w:tblW w:w="5440" w:type="dxa"/>
        <w:tblInd w:w="98" w:type="dxa"/>
        <w:tblLook w:val="04A0" w:firstRow="1" w:lastRow="0" w:firstColumn="1" w:lastColumn="0" w:noHBand="0" w:noVBand="1"/>
      </w:tblPr>
      <w:tblGrid>
        <w:gridCol w:w="2120"/>
        <w:gridCol w:w="1163"/>
        <w:gridCol w:w="1077"/>
        <w:gridCol w:w="1080"/>
      </w:tblGrid>
      <w:tr w:rsidR="0019354D" w:rsidRPr="0019354D" w14:paraId="61318F32" w14:textId="77777777" w:rsidTr="0019354D">
        <w:trPr>
          <w:trHeight w:val="885"/>
        </w:trPr>
        <w:tc>
          <w:tcPr>
            <w:tcW w:w="2120" w:type="dxa"/>
            <w:vMerge w:val="restart"/>
            <w:tcBorders>
              <w:top w:val="single" w:sz="8" w:space="0" w:color="auto"/>
              <w:left w:val="single" w:sz="8" w:space="0" w:color="auto"/>
              <w:bottom w:val="single" w:sz="4" w:space="0" w:color="000000"/>
              <w:right w:val="single" w:sz="4" w:space="0" w:color="auto"/>
            </w:tcBorders>
            <w:shd w:val="clear" w:color="auto" w:fill="auto"/>
            <w:noWrap/>
            <w:vAlign w:val="bottom"/>
            <w:hideMark/>
          </w:tcPr>
          <w:p w14:paraId="5DDE326F" w14:textId="77777777" w:rsidR="0019354D" w:rsidRPr="0019354D" w:rsidRDefault="0019354D" w:rsidP="0019354D">
            <w:pPr>
              <w:jc w:val="center"/>
              <w:rPr>
                <w:rFonts w:ascii="Calibri" w:eastAsia="Times New Roman" w:hAnsi="Calibri" w:cs="Times New Roman"/>
                <w:sz w:val="20"/>
                <w:szCs w:val="20"/>
              </w:rPr>
            </w:pPr>
            <w:r w:rsidRPr="0019354D">
              <w:rPr>
                <w:rFonts w:ascii="Calibri" w:eastAsia="Times New Roman" w:hAnsi="Calibri" w:cs="Times New Roman"/>
                <w:sz w:val="20"/>
                <w:szCs w:val="20"/>
              </w:rPr>
              <w:t> </w:t>
            </w:r>
          </w:p>
        </w:tc>
        <w:tc>
          <w:tcPr>
            <w:tcW w:w="3320" w:type="dxa"/>
            <w:gridSpan w:val="3"/>
            <w:tcBorders>
              <w:top w:val="single" w:sz="8" w:space="0" w:color="auto"/>
              <w:left w:val="nil"/>
              <w:bottom w:val="single" w:sz="4" w:space="0" w:color="auto"/>
              <w:right w:val="single" w:sz="4" w:space="0" w:color="000000"/>
            </w:tcBorders>
            <w:shd w:val="clear" w:color="000000" w:fill="8DB4E2"/>
            <w:vAlign w:val="bottom"/>
            <w:hideMark/>
          </w:tcPr>
          <w:p w14:paraId="3041A3B1" w14:textId="77777777" w:rsidR="0019354D" w:rsidRPr="0019354D" w:rsidRDefault="0019354D" w:rsidP="0019354D">
            <w:pPr>
              <w:jc w:val="center"/>
              <w:rPr>
                <w:rFonts w:ascii="Calibri" w:eastAsia="Times New Roman" w:hAnsi="Calibri" w:cs="Times New Roman"/>
                <w:sz w:val="20"/>
                <w:szCs w:val="20"/>
              </w:rPr>
            </w:pPr>
            <w:r w:rsidRPr="0019354D">
              <w:rPr>
                <w:rFonts w:ascii="Calibri" w:eastAsia="Times New Roman" w:hAnsi="Calibri" w:cs="Times New Roman"/>
                <w:sz w:val="20"/>
                <w:szCs w:val="20"/>
              </w:rPr>
              <w:t>Assumption 1: Treatments do not change wildfire impact area (100% area burned)</w:t>
            </w:r>
          </w:p>
        </w:tc>
      </w:tr>
      <w:tr w:rsidR="0019354D" w:rsidRPr="0019354D" w14:paraId="27639D40" w14:textId="77777777" w:rsidTr="0019354D">
        <w:trPr>
          <w:trHeight w:val="840"/>
        </w:trPr>
        <w:tc>
          <w:tcPr>
            <w:tcW w:w="2120" w:type="dxa"/>
            <w:vMerge/>
            <w:tcBorders>
              <w:top w:val="single" w:sz="8" w:space="0" w:color="auto"/>
              <w:left w:val="single" w:sz="8" w:space="0" w:color="auto"/>
              <w:bottom w:val="single" w:sz="4" w:space="0" w:color="000000"/>
              <w:right w:val="single" w:sz="4" w:space="0" w:color="auto"/>
            </w:tcBorders>
            <w:vAlign w:val="center"/>
            <w:hideMark/>
          </w:tcPr>
          <w:p w14:paraId="454F5F75" w14:textId="77777777" w:rsidR="0019354D" w:rsidRPr="0019354D" w:rsidRDefault="0019354D" w:rsidP="0019354D">
            <w:pPr>
              <w:rPr>
                <w:rFonts w:ascii="Calibri" w:eastAsia="Times New Roman" w:hAnsi="Calibri" w:cs="Times New Roman"/>
                <w:sz w:val="20"/>
                <w:szCs w:val="20"/>
              </w:rPr>
            </w:pPr>
          </w:p>
        </w:tc>
        <w:tc>
          <w:tcPr>
            <w:tcW w:w="1180" w:type="dxa"/>
            <w:tcBorders>
              <w:top w:val="nil"/>
              <w:left w:val="nil"/>
              <w:bottom w:val="single" w:sz="4" w:space="0" w:color="auto"/>
              <w:right w:val="single" w:sz="4" w:space="0" w:color="auto"/>
            </w:tcBorders>
            <w:shd w:val="clear" w:color="000000" w:fill="F2DCDB"/>
            <w:vAlign w:val="bottom"/>
            <w:hideMark/>
          </w:tcPr>
          <w:p w14:paraId="110DF3BB" w14:textId="77777777" w:rsidR="0019354D" w:rsidRPr="0019354D" w:rsidRDefault="0019354D" w:rsidP="0019354D">
            <w:pPr>
              <w:rPr>
                <w:rFonts w:ascii="Calibri" w:eastAsia="Times New Roman" w:hAnsi="Calibri" w:cs="Times New Roman"/>
                <w:sz w:val="20"/>
                <w:szCs w:val="20"/>
              </w:rPr>
            </w:pPr>
            <w:r w:rsidRPr="0019354D">
              <w:rPr>
                <w:rFonts w:ascii="Calibri" w:eastAsia="Times New Roman" w:hAnsi="Calibri" w:cs="Times New Roman"/>
                <w:sz w:val="20"/>
                <w:szCs w:val="20"/>
              </w:rPr>
              <w:t>No treatment</w:t>
            </w:r>
          </w:p>
        </w:tc>
        <w:tc>
          <w:tcPr>
            <w:tcW w:w="1060" w:type="dxa"/>
            <w:tcBorders>
              <w:top w:val="nil"/>
              <w:left w:val="nil"/>
              <w:bottom w:val="single" w:sz="4" w:space="0" w:color="auto"/>
              <w:right w:val="single" w:sz="4" w:space="0" w:color="auto"/>
            </w:tcBorders>
            <w:shd w:val="clear" w:color="000000" w:fill="E6B8B7"/>
            <w:vAlign w:val="bottom"/>
            <w:hideMark/>
          </w:tcPr>
          <w:p w14:paraId="5F4C19CF" w14:textId="77777777" w:rsidR="0019354D" w:rsidRPr="0019354D" w:rsidRDefault="0019354D" w:rsidP="0019354D">
            <w:pPr>
              <w:rPr>
                <w:rFonts w:ascii="Calibri" w:eastAsia="Times New Roman" w:hAnsi="Calibri" w:cs="Times New Roman"/>
                <w:sz w:val="20"/>
                <w:szCs w:val="20"/>
              </w:rPr>
            </w:pPr>
            <w:r w:rsidRPr="0019354D">
              <w:rPr>
                <w:rFonts w:ascii="Calibri" w:eastAsia="Times New Roman" w:hAnsi="Calibri" w:cs="Times New Roman"/>
                <w:sz w:val="20"/>
                <w:szCs w:val="20"/>
              </w:rPr>
              <w:t>Effective Treatment</w:t>
            </w:r>
          </w:p>
        </w:tc>
        <w:tc>
          <w:tcPr>
            <w:tcW w:w="1080" w:type="dxa"/>
            <w:tcBorders>
              <w:top w:val="nil"/>
              <w:left w:val="nil"/>
              <w:bottom w:val="single" w:sz="4" w:space="0" w:color="auto"/>
              <w:right w:val="single" w:sz="4" w:space="0" w:color="auto"/>
            </w:tcBorders>
            <w:shd w:val="clear" w:color="000000" w:fill="DA9694"/>
            <w:vAlign w:val="bottom"/>
            <w:hideMark/>
          </w:tcPr>
          <w:p w14:paraId="058701FB" w14:textId="77777777" w:rsidR="0019354D" w:rsidRPr="0019354D" w:rsidRDefault="0019354D" w:rsidP="0019354D">
            <w:pPr>
              <w:rPr>
                <w:rFonts w:ascii="Calibri" w:eastAsia="Times New Roman" w:hAnsi="Calibri" w:cs="Times New Roman"/>
                <w:sz w:val="20"/>
                <w:szCs w:val="20"/>
              </w:rPr>
            </w:pPr>
            <w:r w:rsidRPr="0019354D">
              <w:rPr>
                <w:rFonts w:ascii="Calibri" w:eastAsia="Times New Roman" w:hAnsi="Calibri" w:cs="Times New Roman"/>
                <w:sz w:val="20"/>
                <w:szCs w:val="20"/>
              </w:rPr>
              <w:t>Very Effective Treatment</w:t>
            </w:r>
          </w:p>
        </w:tc>
      </w:tr>
    </w:tbl>
    <w:p w14:paraId="619BA794" w14:textId="5C2D172B" w:rsidR="0019354D" w:rsidRDefault="00CD199B">
      <w:r>
        <w:t>C loss from fires and treatments</w:t>
      </w:r>
    </w:p>
    <w:tbl>
      <w:tblPr>
        <w:tblW w:w="5440" w:type="dxa"/>
        <w:tblInd w:w="98" w:type="dxa"/>
        <w:tblLook w:val="04A0" w:firstRow="1" w:lastRow="0" w:firstColumn="1" w:lastColumn="0" w:noHBand="0" w:noVBand="1"/>
      </w:tblPr>
      <w:tblGrid>
        <w:gridCol w:w="2120"/>
        <w:gridCol w:w="1180"/>
        <w:gridCol w:w="1060"/>
        <w:gridCol w:w="1080"/>
      </w:tblGrid>
      <w:tr w:rsidR="0019354D" w:rsidRPr="0019354D" w14:paraId="4B20B7EE" w14:textId="77777777" w:rsidTr="0019354D">
        <w:trPr>
          <w:trHeight w:val="280"/>
        </w:trPr>
        <w:tc>
          <w:tcPr>
            <w:tcW w:w="21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8EA70AC" w14:textId="77777777" w:rsidR="0019354D" w:rsidRPr="0019354D" w:rsidRDefault="0019354D" w:rsidP="0019354D">
            <w:pPr>
              <w:rPr>
                <w:rFonts w:ascii="Calibri" w:eastAsia="Times New Roman" w:hAnsi="Calibri" w:cs="Times New Roman"/>
                <w:sz w:val="20"/>
                <w:szCs w:val="20"/>
              </w:rPr>
            </w:pPr>
            <w:r w:rsidRPr="0019354D">
              <w:rPr>
                <w:rFonts w:ascii="Calibri" w:eastAsia="Times New Roman" w:hAnsi="Calibri" w:cs="Times New Roman"/>
                <w:sz w:val="20"/>
                <w:szCs w:val="20"/>
              </w:rPr>
              <w:t>C loss from fire (</w:t>
            </w:r>
            <w:proofErr w:type="spellStart"/>
            <w:r w:rsidRPr="0019354D">
              <w:rPr>
                <w:rFonts w:ascii="Calibri" w:eastAsia="Times New Roman" w:hAnsi="Calibri" w:cs="Times New Roman"/>
                <w:sz w:val="20"/>
                <w:szCs w:val="20"/>
              </w:rPr>
              <w:t>MgC</w:t>
            </w:r>
            <w:proofErr w:type="spellEnd"/>
            <w:r w:rsidRPr="0019354D">
              <w:rPr>
                <w:rFonts w:ascii="Calibri" w:eastAsia="Times New Roman" w:hAnsi="Calibri" w:cs="Times New Roman"/>
                <w:sz w:val="20"/>
                <w:szCs w:val="20"/>
              </w:rPr>
              <w:t>/ha)</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04F168FB" w14:textId="77777777" w:rsidR="0019354D" w:rsidRPr="0019354D" w:rsidRDefault="0019354D" w:rsidP="0019354D">
            <w:pPr>
              <w:jc w:val="right"/>
              <w:rPr>
                <w:rFonts w:ascii="Calibri" w:eastAsia="Times New Roman" w:hAnsi="Calibri" w:cs="Times New Roman"/>
                <w:sz w:val="20"/>
                <w:szCs w:val="20"/>
              </w:rPr>
            </w:pPr>
            <w:r w:rsidRPr="0019354D">
              <w:rPr>
                <w:rFonts w:ascii="Calibri" w:eastAsia="Times New Roman" w:hAnsi="Calibri" w:cs="Times New Roman"/>
                <w:sz w:val="20"/>
                <w:szCs w:val="20"/>
              </w:rPr>
              <w:t>32.0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3C550747" w14:textId="77777777" w:rsidR="0019354D" w:rsidRPr="0019354D" w:rsidRDefault="0019354D" w:rsidP="0019354D">
            <w:pPr>
              <w:jc w:val="right"/>
              <w:rPr>
                <w:rFonts w:ascii="Calibri" w:eastAsia="Times New Roman" w:hAnsi="Calibri" w:cs="Times New Roman"/>
                <w:sz w:val="20"/>
                <w:szCs w:val="20"/>
              </w:rPr>
            </w:pPr>
            <w:r w:rsidRPr="0019354D">
              <w:rPr>
                <w:rFonts w:ascii="Calibri" w:eastAsia="Times New Roman" w:hAnsi="Calibri" w:cs="Times New Roman"/>
                <w:sz w:val="20"/>
                <w:szCs w:val="20"/>
              </w:rPr>
              <w:t>21.3</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2504FB12" w14:textId="77777777" w:rsidR="0019354D" w:rsidRPr="0019354D" w:rsidRDefault="0019354D" w:rsidP="0019354D">
            <w:pPr>
              <w:jc w:val="right"/>
              <w:rPr>
                <w:rFonts w:ascii="Calibri" w:eastAsia="Times New Roman" w:hAnsi="Calibri" w:cs="Times New Roman"/>
                <w:sz w:val="20"/>
                <w:szCs w:val="20"/>
              </w:rPr>
            </w:pPr>
            <w:r w:rsidRPr="0019354D">
              <w:rPr>
                <w:rFonts w:ascii="Calibri" w:eastAsia="Times New Roman" w:hAnsi="Calibri" w:cs="Times New Roman"/>
                <w:sz w:val="20"/>
                <w:szCs w:val="20"/>
              </w:rPr>
              <w:t>16.0</w:t>
            </w:r>
          </w:p>
        </w:tc>
      </w:tr>
      <w:tr w:rsidR="0019354D" w:rsidRPr="0019354D" w14:paraId="6ED2A41B" w14:textId="77777777" w:rsidTr="0019354D">
        <w:trPr>
          <w:trHeight w:val="280"/>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413D0FDC" w14:textId="77777777" w:rsidR="0019354D" w:rsidRPr="0019354D" w:rsidRDefault="0019354D" w:rsidP="0019354D">
            <w:pPr>
              <w:rPr>
                <w:rFonts w:ascii="Calibri" w:eastAsia="Times New Roman" w:hAnsi="Calibri" w:cs="Times New Roman"/>
                <w:sz w:val="20"/>
                <w:szCs w:val="20"/>
              </w:rPr>
            </w:pPr>
            <w:r w:rsidRPr="0019354D">
              <w:rPr>
                <w:rFonts w:ascii="Calibri" w:eastAsia="Times New Roman" w:hAnsi="Calibri" w:cs="Times New Roman"/>
                <w:sz w:val="20"/>
                <w:szCs w:val="20"/>
              </w:rPr>
              <w:t>C loss from fuels removal</w:t>
            </w:r>
          </w:p>
        </w:tc>
        <w:tc>
          <w:tcPr>
            <w:tcW w:w="1180" w:type="dxa"/>
            <w:tcBorders>
              <w:top w:val="nil"/>
              <w:left w:val="nil"/>
              <w:bottom w:val="single" w:sz="4" w:space="0" w:color="auto"/>
              <w:right w:val="single" w:sz="4" w:space="0" w:color="auto"/>
            </w:tcBorders>
            <w:shd w:val="clear" w:color="auto" w:fill="auto"/>
            <w:noWrap/>
            <w:vAlign w:val="bottom"/>
            <w:hideMark/>
          </w:tcPr>
          <w:p w14:paraId="5E964210" w14:textId="77777777" w:rsidR="0019354D" w:rsidRPr="0019354D" w:rsidRDefault="0019354D" w:rsidP="0019354D">
            <w:pPr>
              <w:jc w:val="right"/>
              <w:rPr>
                <w:rFonts w:ascii="Calibri" w:eastAsia="Times New Roman" w:hAnsi="Calibri" w:cs="Times New Roman"/>
                <w:sz w:val="20"/>
                <w:szCs w:val="20"/>
              </w:rPr>
            </w:pPr>
            <w:r w:rsidRPr="0019354D">
              <w:rPr>
                <w:rFonts w:ascii="Calibri" w:eastAsia="Times New Roman" w:hAnsi="Calibri" w:cs="Times New Roman"/>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14:paraId="4571432B" w14:textId="77777777" w:rsidR="0019354D" w:rsidRPr="0019354D" w:rsidRDefault="0019354D" w:rsidP="0019354D">
            <w:pPr>
              <w:jc w:val="right"/>
              <w:rPr>
                <w:rFonts w:ascii="Calibri" w:eastAsia="Times New Roman" w:hAnsi="Calibri" w:cs="Times New Roman"/>
                <w:sz w:val="20"/>
                <w:szCs w:val="20"/>
              </w:rPr>
            </w:pPr>
            <w:r w:rsidRPr="0019354D">
              <w:rPr>
                <w:rFonts w:ascii="Calibri" w:eastAsia="Times New Roman" w:hAnsi="Calibri" w:cs="Times New Roman"/>
                <w:sz w:val="20"/>
                <w:szCs w:val="20"/>
              </w:rPr>
              <w:t>20</w:t>
            </w:r>
          </w:p>
        </w:tc>
        <w:tc>
          <w:tcPr>
            <w:tcW w:w="1080" w:type="dxa"/>
            <w:tcBorders>
              <w:top w:val="nil"/>
              <w:left w:val="nil"/>
              <w:bottom w:val="single" w:sz="4" w:space="0" w:color="auto"/>
              <w:right w:val="single" w:sz="4" w:space="0" w:color="auto"/>
            </w:tcBorders>
            <w:shd w:val="clear" w:color="auto" w:fill="auto"/>
            <w:noWrap/>
            <w:vAlign w:val="bottom"/>
            <w:hideMark/>
          </w:tcPr>
          <w:p w14:paraId="252A9CEB" w14:textId="77777777" w:rsidR="0019354D" w:rsidRPr="0019354D" w:rsidRDefault="0019354D" w:rsidP="0019354D">
            <w:pPr>
              <w:jc w:val="right"/>
              <w:rPr>
                <w:rFonts w:ascii="Calibri" w:eastAsia="Times New Roman" w:hAnsi="Calibri" w:cs="Times New Roman"/>
                <w:sz w:val="20"/>
                <w:szCs w:val="20"/>
              </w:rPr>
            </w:pPr>
            <w:r w:rsidRPr="0019354D">
              <w:rPr>
                <w:rFonts w:ascii="Calibri" w:eastAsia="Times New Roman" w:hAnsi="Calibri" w:cs="Times New Roman"/>
                <w:sz w:val="20"/>
                <w:szCs w:val="20"/>
              </w:rPr>
              <w:t>20</w:t>
            </w:r>
          </w:p>
        </w:tc>
      </w:tr>
      <w:tr w:rsidR="0019354D" w:rsidRPr="0019354D" w14:paraId="4F978A8B" w14:textId="77777777" w:rsidTr="0019354D">
        <w:trPr>
          <w:trHeight w:val="280"/>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21EE9D9E" w14:textId="77777777" w:rsidR="0019354D" w:rsidRPr="0019354D" w:rsidRDefault="0019354D" w:rsidP="0019354D">
            <w:pPr>
              <w:rPr>
                <w:rFonts w:ascii="Calibri" w:eastAsia="Times New Roman" w:hAnsi="Calibri" w:cs="Times New Roman"/>
                <w:sz w:val="20"/>
                <w:szCs w:val="20"/>
              </w:rPr>
            </w:pPr>
            <w:r w:rsidRPr="0019354D">
              <w:rPr>
                <w:rFonts w:ascii="Calibri" w:eastAsia="Times New Roman" w:hAnsi="Calibri" w:cs="Times New Roman"/>
                <w:sz w:val="20"/>
                <w:szCs w:val="20"/>
              </w:rPr>
              <w:t>Total</w:t>
            </w:r>
          </w:p>
        </w:tc>
        <w:tc>
          <w:tcPr>
            <w:tcW w:w="1180" w:type="dxa"/>
            <w:tcBorders>
              <w:top w:val="nil"/>
              <w:left w:val="nil"/>
              <w:bottom w:val="single" w:sz="4" w:space="0" w:color="auto"/>
              <w:right w:val="single" w:sz="4" w:space="0" w:color="auto"/>
            </w:tcBorders>
            <w:shd w:val="clear" w:color="auto" w:fill="auto"/>
            <w:noWrap/>
            <w:vAlign w:val="bottom"/>
            <w:hideMark/>
          </w:tcPr>
          <w:p w14:paraId="5A2168F9" w14:textId="77777777" w:rsidR="0019354D" w:rsidRPr="0019354D" w:rsidRDefault="0019354D" w:rsidP="0019354D">
            <w:pPr>
              <w:jc w:val="right"/>
              <w:rPr>
                <w:rFonts w:ascii="Calibri" w:eastAsia="Times New Roman" w:hAnsi="Calibri" w:cs="Times New Roman"/>
                <w:sz w:val="20"/>
                <w:szCs w:val="20"/>
              </w:rPr>
            </w:pPr>
            <w:r w:rsidRPr="0019354D">
              <w:rPr>
                <w:rFonts w:ascii="Calibri" w:eastAsia="Times New Roman" w:hAnsi="Calibri" w:cs="Times New Roman"/>
                <w:sz w:val="20"/>
                <w:szCs w:val="20"/>
              </w:rPr>
              <w:t>32.0</w:t>
            </w:r>
          </w:p>
        </w:tc>
        <w:tc>
          <w:tcPr>
            <w:tcW w:w="1060" w:type="dxa"/>
            <w:tcBorders>
              <w:top w:val="nil"/>
              <w:left w:val="nil"/>
              <w:bottom w:val="single" w:sz="4" w:space="0" w:color="auto"/>
              <w:right w:val="single" w:sz="4" w:space="0" w:color="auto"/>
            </w:tcBorders>
            <w:shd w:val="clear" w:color="auto" w:fill="auto"/>
            <w:noWrap/>
            <w:vAlign w:val="bottom"/>
            <w:hideMark/>
          </w:tcPr>
          <w:p w14:paraId="4EC50999" w14:textId="77777777" w:rsidR="0019354D" w:rsidRPr="0019354D" w:rsidRDefault="0019354D" w:rsidP="0019354D">
            <w:pPr>
              <w:jc w:val="right"/>
              <w:rPr>
                <w:rFonts w:ascii="Calibri" w:eastAsia="Times New Roman" w:hAnsi="Calibri" w:cs="Times New Roman"/>
                <w:sz w:val="20"/>
                <w:szCs w:val="20"/>
              </w:rPr>
            </w:pPr>
            <w:r w:rsidRPr="0019354D">
              <w:rPr>
                <w:rFonts w:ascii="Calibri" w:eastAsia="Times New Roman" w:hAnsi="Calibri" w:cs="Times New Roman"/>
                <w:sz w:val="20"/>
                <w:szCs w:val="20"/>
              </w:rPr>
              <w:t>41.3</w:t>
            </w:r>
          </w:p>
        </w:tc>
        <w:tc>
          <w:tcPr>
            <w:tcW w:w="1080" w:type="dxa"/>
            <w:tcBorders>
              <w:top w:val="nil"/>
              <w:left w:val="nil"/>
              <w:bottom w:val="single" w:sz="4" w:space="0" w:color="auto"/>
              <w:right w:val="single" w:sz="4" w:space="0" w:color="auto"/>
            </w:tcBorders>
            <w:shd w:val="clear" w:color="auto" w:fill="auto"/>
            <w:noWrap/>
            <w:vAlign w:val="bottom"/>
            <w:hideMark/>
          </w:tcPr>
          <w:p w14:paraId="780E170F" w14:textId="77777777" w:rsidR="0019354D" w:rsidRPr="0019354D" w:rsidRDefault="0019354D" w:rsidP="0019354D">
            <w:pPr>
              <w:jc w:val="right"/>
              <w:rPr>
                <w:rFonts w:ascii="Calibri" w:eastAsia="Times New Roman" w:hAnsi="Calibri" w:cs="Times New Roman"/>
                <w:sz w:val="20"/>
                <w:szCs w:val="20"/>
              </w:rPr>
            </w:pPr>
            <w:r w:rsidRPr="0019354D">
              <w:rPr>
                <w:rFonts w:ascii="Calibri" w:eastAsia="Times New Roman" w:hAnsi="Calibri" w:cs="Times New Roman"/>
                <w:sz w:val="20"/>
                <w:szCs w:val="20"/>
              </w:rPr>
              <w:t>36.0</w:t>
            </w:r>
          </w:p>
        </w:tc>
      </w:tr>
      <w:tr w:rsidR="0019354D" w:rsidRPr="0019354D" w14:paraId="18E894BA" w14:textId="77777777" w:rsidTr="0019354D">
        <w:trPr>
          <w:trHeight w:val="280"/>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03AAC626" w14:textId="77777777" w:rsidR="0019354D" w:rsidRPr="0019354D" w:rsidRDefault="0019354D" w:rsidP="0019354D">
            <w:pPr>
              <w:rPr>
                <w:rFonts w:ascii="Calibri" w:eastAsia="Times New Roman" w:hAnsi="Calibri" w:cs="Times New Roman"/>
                <w:sz w:val="20"/>
                <w:szCs w:val="20"/>
              </w:rPr>
            </w:pPr>
            <w:r w:rsidRPr="0019354D">
              <w:rPr>
                <w:rFonts w:ascii="Calibri" w:eastAsia="Times New Roman" w:hAnsi="Calibri" w:cs="Times New Roman"/>
                <w:sz w:val="20"/>
                <w:szCs w:val="20"/>
              </w:rPr>
              <w:t xml:space="preserve">Difference from no </w:t>
            </w:r>
            <w:proofErr w:type="spellStart"/>
            <w:r w:rsidRPr="0019354D">
              <w:rPr>
                <w:rFonts w:ascii="Calibri" w:eastAsia="Times New Roman" w:hAnsi="Calibri" w:cs="Times New Roman"/>
                <w:sz w:val="20"/>
                <w:szCs w:val="20"/>
              </w:rPr>
              <w:t>tmt</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14:paraId="49805681" w14:textId="77777777" w:rsidR="0019354D" w:rsidRPr="0019354D" w:rsidRDefault="0019354D" w:rsidP="0019354D">
            <w:pPr>
              <w:rPr>
                <w:rFonts w:ascii="Calibri" w:eastAsia="Times New Roman" w:hAnsi="Calibri" w:cs="Times New Roman"/>
                <w:sz w:val="20"/>
                <w:szCs w:val="20"/>
              </w:rPr>
            </w:pPr>
            <w:r w:rsidRPr="0019354D">
              <w:rPr>
                <w:rFonts w:ascii="Calibri" w:eastAsia="Times New Roman" w:hAnsi="Calibri" w:cs="Times New Roman"/>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5B835D44" w14:textId="77777777" w:rsidR="0019354D" w:rsidRPr="0019354D" w:rsidRDefault="0019354D" w:rsidP="0019354D">
            <w:pPr>
              <w:jc w:val="right"/>
              <w:rPr>
                <w:rFonts w:ascii="Calibri" w:eastAsia="Times New Roman" w:hAnsi="Calibri" w:cs="Times New Roman"/>
                <w:sz w:val="20"/>
                <w:szCs w:val="20"/>
              </w:rPr>
            </w:pPr>
            <w:r w:rsidRPr="0019354D">
              <w:rPr>
                <w:rFonts w:ascii="Calibri" w:eastAsia="Times New Roman" w:hAnsi="Calibri" w:cs="Times New Roman"/>
                <w:sz w:val="20"/>
                <w:szCs w:val="20"/>
              </w:rPr>
              <w:t>-9.3</w:t>
            </w:r>
          </w:p>
        </w:tc>
        <w:tc>
          <w:tcPr>
            <w:tcW w:w="1080" w:type="dxa"/>
            <w:tcBorders>
              <w:top w:val="nil"/>
              <w:left w:val="nil"/>
              <w:bottom w:val="single" w:sz="4" w:space="0" w:color="auto"/>
              <w:right w:val="single" w:sz="4" w:space="0" w:color="auto"/>
            </w:tcBorders>
            <w:shd w:val="clear" w:color="auto" w:fill="auto"/>
            <w:noWrap/>
            <w:vAlign w:val="bottom"/>
            <w:hideMark/>
          </w:tcPr>
          <w:p w14:paraId="599DE1B4" w14:textId="77777777" w:rsidR="0019354D" w:rsidRPr="0019354D" w:rsidRDefault="0019354D" w:rsidP="0019354D">
            <w:pPr>
              <w:jc w:val="right"/>
              <w:rPr>
                <w:rFonts w:ascii="Calibri" w:eastAsia="Times New Roman" w:hAnsi="Calibri" w:cs="Times New Roman"/>
                <w:sz w:val="20"/>
                <w:szCs w:val="20"/>
              </w:rPr>
            </w:pPr>
            <w:r w:rsidRPr="0019354D">
              <w:rPr>
                <w:rFonts w:ascii="Calibri" w:eastAsia="Times New Roman" w:hAnsi="Calibri" w:cs="Times New Roman"/>
                <w:sz w:val="20"/>
                <w:szCs w:val="20"/>
              </w:rPr>
              <w:t>-4.0</w:t>
            </w:r>
          </w:p>
        </w:tc>
      </w:tr>
    </w:tbl>
    <w:p w14:paraId="0BE99016" w14:textId="48DEB1C7" w:rsidR="0019354D" w:rsidRDefault="00CD199B">
      <w:r>
        <w:t>C gain/loss from utilization of removed biomass</w:t>
      </w:r>
    </w:p>
    <w:tbl>
      <w:tblPr>
        <w:tblW w:w="5440" w:type="dxa"/>
        <w:tblInd w:w="98" w:type="dxa"/>
        <w:tblLook w:val="04A0" w:firstRow="1" w:lastRow="0" w:firstColumn="1" w:lastColumn="0" w:noHBand="0" w:noVBand="1"/>
      </w:tblPr>
      <w:tblGrid>
        <w:gridCol w:w="2120"/>
        <w:gridCol w:w="1180"/>
        <w:gridCol w:w="1060"/>
        <w:gridCol w:w="1080"/>
      </w:tblGrid>
      <w:tr w:rsidR="00CD199B" w:rsidRPr="00CD199B" w14:paraId="5B0741FF" w14:textId="77777777" w:rsidTr="00CD199B">
        <w:trPr>
          <w:trHeight w:val="280"/>
        </w:trPr>
        <w:tc>
          <w:tcPr>
            <w:tcW w:w="21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BF68B2B" w14:textId="77777777" w:rsidR="00CD199B" w:rsidRPr="00CD199B" w:rsidRDefault="00CD199B" w:rsidP="00CD199B">
            <w:pPr>
              <w:rPr>
                <w:rFonts w:ascii="Calibri" w:eastAsia="Times New Roman" w:hAnsi="Calibri" w:cs="Times New Roman"/>
                <w:sz w:val="20"/>
                <w:szCs w:val="20"/>
              </w:rPr>
            </w:pPr>
            <w:r w:rsidRPr="00CD199B">
              <w:rPr>
                <w:rFonts w:ascii="Calibri" w:eastAsia="Times New Roman" w:hAnsi="Calibri" w:cs="Times New Roman"/>
                <w:sz w:val="20"/>
                <w:szCs w:val="20"/>
              </w:rPr>
              <w:t>Full Rx burn</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6C45D373" w14:textId="77777777" w:rsidR="00CD199B" w:rsidRPr="00CD199B" w:rsidRDefault="00CD199B" w:rsidP="00CD199B">
            <w:pPr>
              <w:jc w:val="right"/>
              <w:rPr>
                <w:rFonts w:ascii="Calibri" w:eastAsia="Times New Roman" w:hAnsi="Calibri" w:cs="Times New Roman"/>
                <w:sz w:val="20"/>
                <w:szCs w:val="20"/>
              </w:rPr>
            </w:pPr>
            <w:r w:rsidRPr="00CD199B">
              <w:rPr>
                <w:rFonts w:ascii="Calibri" w:eastAsia="Times New Roman" w:hAnsi="Calibri" w:cs="Times New Roman"/>
                <w:sz w:val="20"/>
                <w:szCs w:val="20"/>
              </w:rPr>
              <w:t>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4DCDD318" w14:textId="77777777" w:rsidR="00CD199B" w:rsidRPr="00CD199B" w:rsidRDefault="00CD199B" w:rsidP="00CD199B">
            <w:pPr>
              <w:jc w:val="right"/>
              <w:rPr>
                <w:rFonts w:ascii="Calibri" w:eastAsia="Times New Roman" w:hAnsi="Calibri" w:cs="Times New Roman"/>
                <w:sz w:val="20"/>
                <w:szCs w:val="20"/>
              </w:rPr>
            </w:pPr>
            <w:r w:rsidRPr="00CD199B">
              <w:rPr>
                <w:rFonts w:ascii="Calibri" w:eastAsia="Times New Roman" w:hAnsi="Calibri" w:cs="Times New Roman"/>
                <w:sz w:val="20"/>
                <w:szCs w:val="20"/>
              </w:rPr>
              <w:t>-6</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C282458" w14:textId="77777777" w:rsidR="00CD199B" w:rsidRPr="00CD199B" w:rsidRDefault="00CD199B" w:rsidP="00CD199B">
            <w:pPr>
              <w:jc w:val="right"/>
              <w:rPr>
                <w:rFonts w:ascii="Calibri" w:eastAsia="Times New Roman" w:hAnsi="Calibri" w:cs="Times New Roman"/>
                <w:sz w:val="20"/>
                <w:szCs w:val="20"/>
              </w:rPr>
            </w:pPr>
            <w:r w:rsidRPr="00CD199B">
              <w:rPr>
                <w:rFonts w:ascii="Calibri" w:eastAsia="Times New Roman" w:hAnsi="Calibri" w:cs="Times New Roman"/>
                <w:sz w:val="20"/>
                <w:szCs w:val="20"/>
              </w:rPr>
              <w:t>-6</w:t>
            </w:r>
          </w:p>
        </w:tc>
      </w:tr>
      <w:tr w:rsidR="00CD199B" w:rsidRPr="00CD199B" w14:paraId="54BA7C30" w14:textId="77777777" w:rsidTr="00CD199B">
        <w:trPr>
          <w:trHeight w:val="280"/>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407BC18F" w14:textId="77777777" w:rsidR="00CD199B" w:rsidRPr="00CD199B" w:rsidRDefault="00CD199B" w:rsidP="00CD199B">
            <w:pPr>
              <w:rPr>
                <w:rFonts w:ascii="Calibri" w:eastAsia="Times New Roman" w:hAnsi="Calibri" w:cs="Times New Roman"/>
                <w:sz w:val="20"/>
                <w:szCs w:val="20"/>
              </w:rPr>
            </w:pPr>
            <w:r w:rsidRPr="00CD199B">
              <w:rPr>
                <w:rFonts w:ascii="Calibri" w:eastAsia="Times New Roman" w:hAnsi="Calibri" w:cs="Times New Roman"/>
                <w:sz w:val="20"/>
                <w:szCs w:val="20"/>
              </w:rPr>
              <w:t>Pile burn</w:t>
            </w:r>
          </w:p>
        </w:tc>
        <w:tc>
          <w:tcPr>
            <w:tcW w:w="1180" w:type="dxa"/>
            <w:tcBorders>
              <w:top w:val="nil"/>
              <w:left w:val="nil"/>
              <w:bottom w:val="single" w:sz="4" w:space="0" w:color="auto"/>
              <w:right w:val="single" w:sz="4" w:space="0" w:color="auto"/>
            </w:tcBorders>
            <w:shd w:val="clear" w:color="auto" w:fill="auto"/>
            <w:noWrap/>
            <w:vAlign w:val="bottom"/>
            <w:hideMark/>
          </w:tcPr>
          <w:p w14:paraId="66BD5055" w14:textId="77777777" w:rsidR="00CD199B" w:rsidRPr="00CD199B" w:rsidRDefault="00CD199B" w:rsidP="00CD199B">
            <w:pPr>
              <w:jc w:val="right"/>
              <w:rPr>
                <w:rFonts w:ascii="Calibri" w:eastAsia="Times New Roman" w:hAnsi="Calibri" w:cs="Times New Roman"/>
                <w:sz w:val="20"/>
                <w:szCs w:val="20"/>
              </w:rPr>
            </w:pPr>
            <w:r w:rsidRPr="00CD199B">
              <w:rPr>
                <w:rFonts w:ascii="Calibri" w:eastAsia="Times New Roman" w:hAnsi="Calibri" w:cs="Times New Roman"/>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14:paraId="07BFAE5D" w14:textId="77777777" w:rsidR="00CD199B" w:rsidRPr="00CD199B" w:rsidRDefault="00CD199B" w:rsidP="00CD199B">
            <w:pPr>
              <w:jc w:val="right"/>
              <w:rPr>
                <w:rFonts w:ascii="Calibri" w:eastAsia="Times New Roman" w:hAnsi="Calibri" w:cs="Times New Roman"/>
                <w:sz w:val="20"/>
                <w:szCs w:val="20"/>
              </w:rPr>
            </w:pPr>
            <w:r w:rsidRPr="00CD199B">
              <w:rPr>
                <w:rFonts w:ascii="Calibri" w:eastAsia="Times New Roman" w:hAnsi="Calibri" w:cs="Times New Roman"/>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5F90E553" w14:textId="77777777" w:rsidR="00CD199B" w:rsidRPr="00CD199B" w:rsidRDefault="00CD199B" w:rsidP="00CD199B">
            <w:pPr>
              <w:jc w:val="right"/>
              <w:rPr>
                <w:rFonts w:ascii="Calibri" w:eastAsia="Times New Roman" w:hAnsi="Calibri" w:cs="Times New Roman"/>
                <w:sz w:val="20"/>
                <w:szCs w:val="20"/>
              </w:rPr>
            </w:pPr>
            <w:r w:rsidRPr="00CD199B">
              <w:rPr>
                <w:rFonts w:ascii="Calibri" w:eastAsia="Times New Roman" w:hAnsi="Calibri" w:cs="Times New Roman"/>
                <w:sz w:val="20"/>
                <w:szCs w:val="20"/>
              </w:rPr>
              <w:t>1</w:t>
            </w:r>
          </w:p>
        </w:tc>
      </w:tr>
      <w:tr w:rsidR="00CD199B" w:rsidRPr="00CD199B" w14:paraId="5D5A88A8" w14:textId="77777777" w:rsidTr="00CD199B">
        <w:trPr>
          <w:trHeight w:val="280"/>
        </w:trPr>
        <w:tc>
          <w:tcPr>
            <w:tcW w:w="2120" w:type="dxa"/>
            <w:tcBorders>
              <w:top w:val="nil"/>
              <w:left w:val="single" w:sz="8" w:space="0" w:color="auto"/>
              <w:bottom w:val="single" w:sz="4" w:space="0" w:color="auto"/>
              <w:right w:val="single" w:sz="4" w:space="0" w:color="auto"/>
            </w:tcBorders>
            <w:shd w:val="clear" w:color="auto" w:fill="auto"/>
            <w:vAlign w:val="bottom"/>
            <w:hideMark/>
          </w:tcPr>
          <w:p w14:paraId="113B31E1" w14:textId="77777777" w:rsidR="00CD199B" w:rsidRPr="00CD199B" w:rsidRDefault="00CD199B" w:rsidP="00CD199B">
            <w:pPr>
              <w:rPr>
                <w:rFonts w:ascii="Calibri" w:eastAsia="Times New Roman" w:hAnsi="Calibri" w:cs="Times New Roman"/>
                <w:sz w:val="20"/>
                <w:szCs w:val="20"/>
              </w:rPr>
            </w:pPr>
            <w:proofErr w:type="spellStart"/>
            <w:r w:rsidRPr="00CD199B">
              <w:rPr>
                <w:rFonts w:ascii="Calibri" w:eastAsia="Times New Roman" w:hAnsi="Calibri" w:cs="Times New Roman"/>
                <w:sz w:val="20"/>
                <w:szCs w:val="20"/>
              </w:rPr>
              <w:t>Lop,scatter</w:t>
            </w:r>
            <w:proofErr w:type="spellEnd"/>
            <w:r w:rsidRPr="00CD199B">
              <w:rPr>
                <w:rFonts w:ascii="Calibri" w:eastAsia="Times New Roman" w:hAnsi="Calibri" w:cs="Times New Roman"/>
                <w:sz w:val="20"/>
                <w:szCs w:val="20"/>
              </w:rPr>
              <w:t>, leave</w:t>
            </w:r>
          </w:p>
        </w:tc>
        <w:tc>
          <w:tcPr>
            <w:tcW w:w="1180" w:type="dxa"/>
            <w:tcBorders>
              <w:top w:val="nil"/>
              <w:left w:val="nil"/>
              <w:bottom w:val="single" w:sz="4" w:space="0" w:color="auto"/>
              <w:right w:val="single" w:sz="4" w:space="0" w:color="auto"/>
            </w:tcBorders>
            <w:shd w:val="clear" w:color="auto" w:fill="auto"/>
            <w:noWrap/>
            <w:vAlign w:val="bottom"/>
            <w:hideMark/>
          </w:tcPr>
          <w:p w14:paraId="26F5428E" w14:textId="77777777" w:rsidR="00CD199B" w:rsidRPr="00CD199B" w:rsidRDefault="00CD199B" w:rsidP="00CD199B">
            <w:pPr>
              <w:jc w:val="right"/>
              <w:rPr>
                <w:rFonts w:ascii="Calibri" w:eastAsia="Times New Roman" w:hAnsi="Calibri" w:cs="Times New Roman"/>
                <w:sz w:val="20"/>
                <w:szCs w:val="20"/>
              </w:rPr>
            </w:pPr>
            <w:r w:rsidRPr="00CD199B">
              <w:rPr>
                <w:rFonts w:ascii="Calibri" w:eastAsia="Times New Roman" w:hAnsi="Calibri" w:cs="Times New Roman"/>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14:paraId="2A0715CF" w14:textId="77777777" w:rsidR="00CD199B" w:rsidRPr="00CD199B" w:rsidRDefault="00CD199B" w:rsidP="00CD199B">
            <w:pPr>
              <w:jc w:val="right"/>
              <w:rPr>
                <w:rFonts w:ascii="Calibri" w:eastAsia="Times New Roman" w:hAnsi="Calibri" w:cs="Times New Roman"/>
                <w:sz w:val="20"/>
                <w:szCs w:val="20"/>
              </w:rPr>
            </w:pPr>
            <w:r w:rsidRPr="00CD199B">
              <w:rPr>
                <w:rFonts w:ascii="Calibri" w:eastAsia="Times New Roman" w:hAnsi="Calibri" w:cs="Times New Roman"/>
                <w:sz w:val="20"/>
                <w:szCs w:val="20"/>
              </w:rPr>
              <w:t>5</w:t>
            </w:r>
          </w:p>
        </w:tc>
        <w:tc>
          <w:tcPr>
            <w:tcW w:w="1080" w:type="dxa"/>
            <w:tcBorders>
              <w:top w:val="nil"/>
              <w:left w:val="nil"/>
              <w:bottom w:val="single" w:sz="4" w:space="0" w:color="auto"/>
              <w:right w:val="single" w:sz="4" w:space="0" w:color="auto"/>
            </w:tcBorders>
            <w:shd w:val="clear" w:color="auto" w:fill="auto"/>
            <w:noWrap/>
            <w:vAlign w:val="bottom"/>
            <w:hideMark/>
          </w:tcPr>
          <w:p w14:paraId="6CDC5FF7" w14:textId="77777777" w:rsidR="00CD199B" w:rsidRPr="00CD199B" w:rsidRDefault="00CD199B" w:rsidP="00CD199B">
            <w:pPr>
              <w:jc w:val="right"/>
              <w:rPr>
                <w:rFonts w:ascii="Calibri" w:eastAsia="Times New Roman" w:hAnsi="Calibri" w:cs="Times New Roman"/>
                <w:sz w:val="20"/>
                <w:szCs w:val="20"/>
              </w:rPr>
            </w:pPr>
            <w:r w:rsidRPr="00CD199B">
              <w:rPr>
                <w:rFonts w:ascii="Calibri" w:eastAsia="Times New Roman" w:hAnsi="Calibri" w:cs="Times New Roman"/>
                <w:sz w:val="20"/>
                <w:szCs w:val="20"/>
              </w:rPr>
              <w:t>5</w:t>
            </w:r>
          </w:p>
        </w:tc>
      </w:tr>
      <w:tr w:rsidR="00CD199B" w:rsidRPr="00CD199B" w14:paraId="15B2E9C9" w14:textId="77777777" w:rsidTr="00CD199B">
        <w:trPr>
          <w:trHeight w:val="280"/>
        </w:trPr>
        <w:tc>
          <w:tcPr>
            <w:tcW w:w="2120" w:type="dxa"/>
            <w:tcBorders>
              <w:top w:val="nil"/>
              <w:left w:val="single" w:sz="8" w:space="0" w:color="auto"/>
              <w:bottom w:val="single" w:sz="4" w:space="0" w:color="auto"/>
              <w:right w:val="single" w:sz="4" w:space="0" w:color="auto"/>
            </w:tcBorders>
            <w:shd w:val="clear" w:color="auto" w:fill="auto"/>
            <w:vAlign w:val="bottom"/>
            <w:hideMark/>
          </w:tcPr>
          <w:p w14:paraId="75396DAB" w14:textId="77777777" w:rsidR="00CD199B" w:rsidRPr="00CD199B" w:rsidRDefault="00CD199B" w:rsidP="00CD199B">
            <w:pPr>
              <w:rPr>
                <w:rFonts w:ascii="Calibri" w:eastAsia="Times New Roman" w:hAnsi="Calibri" w:cs="Times New Roman"/>
                <w:sz w:val="20"/>
                <w:szCs w:val="20"/>
              </w:rPr>
            </w:pPr>
            <w:r w:rsidRPr="00CD199B">
              <w:rPr>
                <w:rFonts w:ascii="Calibri" w:eastAsia="Times New Roman" w:hAnsi="Calibri" w:cs="Times New Roman"/>
                <w:sz w:val="20"/>
                <w:szCs w:val="20"/>
              </w:rPr>
              <w:t>Partial utilization</w:t>
            </w:r>
          </w:p>
        </w:tc>
        <w:tc>
          <w:tcPr>
            <w:tcW w:w="1180" w:type="dxa"/>
            <w:tcBorders>
              <w:top w:val="nil"/>
              <w:left w:val="nil"/>
              <w:bottom w:val="single" w:sz="4" w:space="0" w:color="auto"/>
              <w:right w:val="single" w:sz="4" w:space="0" w:color="auto"/>
            </w:tcBorders>
            <w:shd w:val="clear" w:color="auto" w:fill="auto"/>
            <w:noWrap/>
            <w:vAlign w:val="bottom"/>
            <w:hideMark/>
          </w:tcPr>
          <w:p w14:paraId="373134C1" w14:textId="77777777" w:rsidR="00CD199B" w:rsidRPr="00CD199B" w:rsidRDefault="00CD199B" w:rsidP="00CD199B">
            <w:pPr>
              <w:jc w:val="right"/>
              <w:rPr>
                <w:rFonts w:ascii="Calibri" w:eastAsia="Times New Roman" w:hAnsi="Calibri" w:cs="Times New Roman"/>
                <w:sz w:val="20"/>
                <w:szCs w:val="20"/>
              </w:rPr>
            </w:pPr>
            <w:r w:rsidRPr="00CD199B">
              <w:rPr>
                <w:rFonts w:ascii="Calibri" w:eastAsia="Times New Roman" w:hAnsi="Calibri" w:cs="Times New Roman"/>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14:paraId="75C19EDC" w14:textId="77777777" w:rsidR="00CD199B" w:rsidRPr="00CD199B" w:rsidRDefault="00CD199B" w:rsidP="00CD199B">
            <w:pPr>
              <w:jc w:val="right"/>
              <w:rPr>
                <w:rFonts w:ascii="Calibri" w:eastAsia="Times New Roman" w:hAnsi="Calibri" w:cs="Times New Roman"/>
                <w:sz w:val="20"/>
                <w:szCs w:val="20"/>
              </w:rPr>
            </w:pPr>
            <w:r w:rsidRPr="00CD199B">
              <w:rPr>
                <w:rFonts w:ascii="Calibri" w:eastAsia="Times New Roman" w:hAnsi="Calibri" w:cs="Times New Roman"/>
                <w:sz w:val="20"/>
                <w:szCs w:val="20"/>
              </w:rPr>
              <w:t>11</w:t>
            </w:r>
          </w:p>
        </w:tc>
        <w:tc>
          <w:tcPr>
            <w:tcW w:w="1080" w:type="dxa"/>
            <w:tcBorders>
              <w:top w:val="nil"/>
              <w:left w:val="nil"/>
              <w:bottom w:val="single" w:sz="4" w:space="0" w:color="auto"/>
              <w:right w:val="single" w:sz="4" w:space="0" w:color="auto"/>
            </w:tcBorders>
            <w:shd w:val="clear" w:color="auto" w:fill="auto"/>
            <w:noWrap/>
            <w:vAlign w:val="bottom"/>
            <w:hideMark/>
          </w:tcPr>
          <w:p w14:paraId="1FF85A74" w14:textId="77777777" w:rsidR="00CD199B" w:rsidRPr="00CD199B" w:rsidRDefault="00CD199B" w:rsidP="00CD199B">
            <w:pPr>
              <w:jc w:val="right"/>
              <w:rPr>
                <w:rFonts w:ascii="Calibri" w:eastAsia="Times New Roman" w:hAnsi="Calibri" w:cs="Times New Roman"/>
                <w:sz w:val="20"/>
                <w:szCs w:val="20"/>
              </w:rPr>
            </w:pPr>
            <w:r w:rsidRPr="00CD199B">
              <w:rPr>
                <w:rFonts w:ascii="Calibri" w:eastAsia="Times New Roman" w:hAnsi="Calibri" w:cs="Times New Roman"/>
                <w:sz w:val="20"/>
                <w:szCs w:val="20"/>
              </w:rPr>
              <w:t>11</w:t>
            </w:r>
          </w:p>
        </w:tc>
      </w:tr>
      <w:tr w:rsidR="00CD199B" w:rsidRPr="00CD199B" w14:paraId="0001F79F" w14:textId="77777777" w:rsidTr="00CD199B">
        <w:trPr>
          <w:trHeight w:val="280"/>
        </w:trPr>
        <w:tc>
          <w:tcPr>
            <w:tcW w:w="2120" w:type="dxa"/>
            <w:tcBorders>
              <w:top w:val="nil"/>
              <w:left w:val="single" w:sz="8" w:space="0" w:color="auto"/>
              <w:bottom w:val="single" w:sz="4" w:space="0" w:color="auto"/>
              <w:right w:val="single" w:sz="4" w:space="0" w:color="auto"/>
            </w:tcBorders>
            <w:shd w:val="clear" w:color="auto" w:fill="auto"/>
            <w:vAlign w:val="bottom"/>
            <w:hideMark/>
          </w:tcPr>
          <w:p w14:paraId="0BBF8F1A" w14:textId="77777777" w:rsidR="00CD199B" w:rsidRPr="00CD199B" w:rsidRDefault="00CD199B" w:rsidP="00CD199B">
            <w:pPr>
              <w:rPr>
                <w:rFonts w:ascii="Calibri" w:eastAsia="Times New Roman" w:hAnsi="Calibri" w:cs="Times New Roman"/>
                <w:sz w:val="20"/>
                <w:szCs w:val="20"/>
              </w:rPr>
            </w:pPr>
            <w:r w:rsidRPr="00CD199B">
              <w:rPr>
                <w:rFonts w:ascii="Calibri" w:eastAsia="Times New Roman" w:hAnsi="Calibri" w:cs="Times New Roman"/>
                <w:sz w:val="20"/>
                <w:szCs w:val="20"/>
              </w:rPr>
              <w:t>Full utilization</w:t>
            </w:r>
          </w:p>
        </w:tc>
        <w:tc>
          <w:tcPr>
            <w:tcW w:w="1180" w:type="dxa"/>
            <w:tcBorders>
              <w:top w:val="nil"/>
              <w:left w:val="nil"/>
              <w:bottom w:val="single" w:sz="4" w:space="0" w:color="auto"/>
              <w:right w:val="single" w:sz="4" w:space="0" w:color="auto"/>
            </w:tcBorders>
            <w:shd w:val="clear" w:color="auto" w:fill="auto"/>
            <w:noWrap/>
            <w:vAlign w:val="bottom"/>
            <w:hideMark/>
          </w:tcPr>
          <w:p w14:paraId="4EE18C12" w14:textId="77777777" w:rsidR="00CD199B" w:rsidRPr="00CD199B" w:rsidRDefault="00CD199B" w:rsidP="00CD199B">
            <w:pPr>
              <w:jc w:val="right"/>
              <w:rPr>
                <w:rFonts w:ascii="Calibri" w:eastAsia="Times New Roman" w:hAnsi="Calibri" w:cs="Times New Roman"/>
                <w:sz w:val="20"/>
                <w:szCs w:val="20"/>
              </w:rPr>
            </w:pPr>
            <w:r w:rsidRPr="00CD199B">
              <w:rPr>
                <w:rFonts w:ascii="Calibri" w:eastAsia="Times New Roman" w:hAnsi="Calibri" w:cs="Times New Roman"/>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14:paraId="3DC76E26" w14:textId="77777777" w:rsidR="00CD199B" w:rsidRPr="00CD199B" w:rsidRDefault="00CD199B" w:rsidP="00CD199B">
            <w:pPr>
              <w:jc w:val="right"/>
              <w:rPr>
                <w:rFonts w:ascii="Calibri" w:eastAsia="Times New Roman" w:hAnsi="Calibri" w:cs="Times New Roman"/>
                <w:sz w:val="20"/>
                <w:szCs w:val="20"/>
              </w:rPr>
            </w:pPr>
            <w:r w:rsidRPr="00CD199B">
              <w:rPr>
                <w:rFonts w:ascii="Calibri" w:eastAsia="Times New Roman" w:hAnsi="Calibri" w:cs="Times New Roman"/>
                <w:sz w:val="20"/>
                <w:szCs w:val="20"/>
              </w:rPr>
              <w:t>18</w:t>
            </w:r>
          </w:p>
        </w:tc>
        <w:tc>
          <w:tcPr>
            <w:tcW w:w="1080" w:type="dxa"/>
            <w:tcBorders>
              <w:top w:val="nil"/>
              <w:left w:val="nil"/>
              <w:bottom w:val="single" w:sz="4" w:space="0" w:color="auto"/>
              <w:right w:val="single" w:sz="4" w:space="0" w:color="auto"/>
            </w:tcBorders>
            <w:shd w:val="clear" w:color="auto" w:fill="auto"/>
            <w:noWrap/>
            <w:vAlign w:val="bottom"/>
            <w:hideMark/>
          </w:tcPr>
          <w:p w14:paraId="26D978F4" w14:textId="77777777" w:rsidR="00CD199B" w:rsidRPr="00CD199B" w:rsidRDefault="00CD199B" w:rsidP="00CD199B">
            <w:pPr>
              <w:jc w:val="right"/>
              <w:rPr>
                <w:rFonts w:ascii="Calibri" w:eastAsia="Times New Roman" w:hAnsi="Calibri" w:cs="Times New Roman"/>
                <w:sz w:val="20"/>
                <w:szCs w:val="20"/>
              </w:rPr>
            </w:pPr>
            <w:r w:rsidRPr="00CD199B">
              <w:rPr>
                <w:rFonts w:ascii="Calibri" w:eastAsia="Times New Roman" w:hAnsi="Calibri" w:cs="Times New Roman"/>
                <w:sz w:val="20"/>
                <w:szCs w:val="20"/>
              </w:rPr>
              <w:t>18</w:t>
            </w:r>
          </w:p>
        </w:tc>
      </w:tr>
    </w:tbl>
    <w:p w14:paraId="7C4112F5" w14:textId="2256F204" w:rsidR="00F02585" w:rsidRDefault="00CD199B">
      <w:r>
        <w:t>Net C change for different projects</w:t>
      </w:r>
    </w:p>
    <w:tbl>
      <w:tblPr>
        <w:tblW w:w="5440" w:type="dxa"/>
        <w:tblInd w:w="98" w:type="dxa"/>
        <w:tblLook w:val="04A0" w:firstRow="1" w:lastRow="0" w:firstColumn="1" w:lastColumn="0" w:noHBand="0" w:noVBand="1"/>
      </w:tblPr>
      <w:tblGrid>
        <w:gridCol w:w="2120"/>
        <w:gridCol w:w="1180"/>
        <w:gridCol w:w="1060"/>
        <w:gridCol w:w="1080"/>
      </w:tblGrid>
      <w:tr w:rsidR="00CD199B" w:rsidRPr="00CD199B" w14:paraId="6CD6BC16" w14:textId="77777777" w:rsidTr="00CD199B">
        <w:trPr>
          <w:trHeight w:val="280"/>
        </w:trPr>
        <w:tc>
          <w:tcPr>
            <w:tcW w:w="21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C6AA11F" w14:textId="77777777" w:rsidR="00CD199B" w:rsidRPr="00CD199B" w:rsidRDefault="00CD199B" w:rsidP="00CD199B">
            <w:pPr>
              <w:rPr>
                <w:rFonts w:ascii="Calibri" w:eastAsia="Times New Roman" w:hAnsi="Calibri" w:cs="Times New Roman"/>
                <w:sz w:val="20"/>
                <w:szCs w:val="20"/>
              </w:rPr>
            </w:pPr>
            <w:r w:rsidRPr="00CD199B">
              <w:rPr>
                <w:rFonts w:ascii="Calibri" w:eastAsia="Times New Roman" w:hAnsi="Calibri" w:cs="Times New Roman"/>
                <w:sz w:val="20"/>
                <w:szCs w:val="20"/>
              </w:rPr>
              <w:t>Full Rx burn</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41B3E5EC" w14:textId="77777777" w:rsidR="00CD199B" w:rsidRPr="00CD199B" w:rsidRDefault="00CD199B" w:rsidP="00CD199B">
            <w:pPr>
              <w:jc w:val="right"/>
              <w:rPr>
                <w:rFonts w:ascii="Calibri" w:eastAsia="Times New Roman" w:hAnsi="Calibri" w:cs="Times New Roman"/>
                <w:sz w:val="20"/>
                <w:szCs w:val="20"/>
              </w:rPr>
            </w:pPr>
            <w:r w:rsidRPr="00CD199B">
              <w:rPr>
                <w:rFonts w:ascii="Calibri" w:eastAsia="Times New Roman" w:hAnsi="Calibri" w:cs="Times New Roman"/>
                <w:sz w:val="20"/>
                <w:szCs w:val="20"/>
              </w:rPr>
              <w:t>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2D886966" w14:textId="77777777" w:rsidR="00CD199B" w:rsidRPr="00CD199B" w:rsidRDefault="00CD199B" w:rsidP="00CD199B">
            <w:pPr>
              <w:jc w:val="right"/>
              <w:rPr>
                <w:rFonts w:ascii="Calibri" w:eastAsia="Times New Roman" w:hAnsi="Calibri" w:cs="Times New Roman"/>
                <w:sz w:val="20"/>
                <w:szCs w:val="20"/>
              </w:rPr>
            </w:pPr>
            <w:r w:rsidRPr="00CD199B">
              <w:rPr>
                <w:rFonts w:ascii="Calibri" w:eastAsia="Times New Roman" w:hAnsi="Calibri" w:cs="Times New Roman"/>
                <w:sz w:val="20"/>
                <w:szCs w:val="20"/>
              </w:rPr>
              <w:t>-15</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5403FA6" w14:textId="77777777" w:rsidR="00CD199B" w:rsidRPr="00CD199B" w:rsidRDefault="00CD199B" w:rsidP="00CD199B">
            <w:pPr>
              <w:jc w:val="right"/>
              <w:rPr>
                <w:rFonts w:ascii="Calibri" w:eastAsia="Times New Roman" w:hAnsi="Calibri" w:cs="Times New Roman"/>
                <w:sz w:val="20"/>
                <w:szCs w:val="20"/>
              </w:rPr>
            </w:pPr>
            <w:r w:rsidRPr="00CD199B">
              <w:rPr>
                <w:rFonts w:ascii="Calibri" w:eastAsia="Times New Roman" w:hAnsi="Calibri" w:cs="Times New Roman"/>
                <w:sz w:val="20"/>
                <w:szCs w:val="20"/>
              </w:rPr>
              <w:t>-10</w:t>
            </w:r>
          </w:p>
        </w:tc>
      </w:tr>
      <w:tr w:rsidR="00CD199B" w:rsidRPr="00CD199B" w14:paraId="3FDEDCD2" w14:textId="77777777" w:rsidTr="00CD199B">
        <w:trPr>
          <w:trHeight w:val="280"/>
        </w:trPr>
        <w:tc>
          <w:tcPr>
            <w:tcW w:w="2120" w:type="dxa"/>
            <w:tcBorders>
              <w:top w:val="nil"/>
              <w:left w:val="single" w:sz="8" w:space="0" w:color="auto"/>
              <w:bottom w:val="single" w:sz="4" w:space="0" w:color="auto"/>
              <w:right w:val="single" w:sz="4" w:space="0" w:color="auto"/>
            </w:tcBorders>
            <w:shd w:val="clear" w:color="auto" w:fill="auto"/>
            <w:noWrap/>
            <w:vAlign w:val="bottom"/>
            <w:hideMark/>
          </w:tcPr>
          <w:p w14:paraId="04FA90B5" w14:textId="77777777" w:rsidR="00CD199B" w:rsidRPr="00CD199B" w:rsidRDefault="00CD199B" w:rsidP="00CD199B">
            <w:pPr>
              <w:rPr>
                <w:rFonts w:ascii="Calibri" w:eastAsia="Times New Roman" w:hAnsi="Calibri" w:cs="Times New Roman"/>
                <w:sz w:val="20"/>
                <w:szCs w:val="20"/>
              </w:rPr>
            </w:pPr>
            <w:r w:rsidRPr="00CD199B">
              <w:rPr>
                <w:rFonts w:ascii="Calibri" w:eastAsia="Times New Roman" w:hAnsi="Calibri" w:cs="Times New Roman"/>
                <w:sz w:val="20"/>
                <w:szCs w:val="20"/>
              </w:rPr>
              <w:t>Pile burn</w:t>
            </w:r>
          </w:p>
        </w:tc>
        <w:tc>
          <w:tcPr>
            <w:tcW w:w="1180" w:type="dxa"/>
            <w:tcBorders>
              <w:top w:val="nil"/>
              <w:left w:val="nil"/>
              <w:bottom w:val="single" w:sz="4" w:space="0" w:color="auto"/>
              <w:right w:val="single" w:sz="4" w:space="0" w:color="auto"/>
            </w:tcBorders>
            <w:shd w:val="clear" w:color="auto" w:fill="auto"/>
            <w:noWrap/>
            <w:vAlign w:val="bottom"/>
            <w:hideMark/>
          </w:tcPr>
          <w:p w14:paraId="1B8E14D9" w14:textId="77777777" w:rsidR="00CD199B" w:rsidRPr="00CD199B" w:rsidRDefault="00CD199B" w:rsidP="00CD199B">
            <w:pPr>
              <w:jc w:val="right"/>
              <w:rPr>
                <w:rFonts w:ascii="Calibri" w:eastAsia="Times New Roman" w:hAnsi="Calibri" w:cs="Times New Roman"/>
                <w:sz w:val="20"/>
                <w:szCs w:val="20"/>
              </w:rPr>
            </w:pPr>
            <w:r w:rsidRPr="00CD199B">
              <w:rPr>
                <w:rFonts w:ascii="Calibri" w:eastAsia="Times New Roman" w:hAnsi="Calibri" w:cs="Times New Roman"/>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14:paraId="34C278F0" w14:textId="77777777" w:rsidR="00CD199B" w:rsidRPr="00CD199B" w:rsidRDefault="00CD199B" w:rsidP="00CD199B">
            <w:pPr>
              <w:jc w:val="right"/>
              <w:rPr>
                <w:rFonts w:ascii="Calibri" w:eastAsia="Times New Roman" w:hAnsi="Calibri" w:cs="Times New Roman"/>
                <w:sz w:val="20"/>
                <w:szCs w:val="20"/>
              </w:rPr>
            </w:pPr>
            <w:r w:rsidRPr="00CD199B">
              <w:rPr>
                <w:rFonts w:ascii="Calibri" w:eastAsia="Times New Roman" w:hAnsi="Calibri" w:cs="Times New Roman"/>
                <w:sz w:val="20"/>
                <w:szCs w:val="20"/>
              </w:rPr>
              <w:t>-8</w:t>
            </w:r>
          </w:p>
        </w:tc>
        <w:tc>
          <w:tcPr>
            <w:tcW w:w="1080" w:type="dxa"/>
            <w:tcBorders>
              <w:top w:val="nil"/>
              <w:left w:val="nil"/>
              <w:bottom w:val="single" w:sz="4" w:space="0" w:color="auto"/>
              <w:right w:val="single" w:sz="4" w:space="0" w:color="auto"/>
            </w:tcBorders>
            <w:shd w:val="clear" w:color="auto" w:fill="auto"/>
            <w:noWrap/>
            <w:vAlign w:val="bottom"/>
            <w:hideMark/>
          </w:tcPr>
          <w:p w14:paraId="23A65A31" w14:textId="77777777" w:rsidR="00CD199B" w:rsidRPr="00CD199B" w:rsidRDefault="00CD199B" w:rsidP="00CD199B">
            <w:pPr>
              <w:jc w:val="right"/>
              <w:rPr>
                <w:rFonts w:ascii="Calibri" w:eastAsia="Times New Roman" w:hAnsi="Calibri" w:cs="Times New Roman"/>
                <w:sz w:val="20"/>
                <w:szCs w:val="20"/>
              </w:rPr>
            </w:pPr>
            <w:r w:rsidRPr="00CD199B">
              <w:rPr>
                <w:rFonts w:ascii="Calibri" w:eastAsia="Times New Roman" w:hAnsi="Calibri" w:cs="Times New Roman"/>
                <w:sz w:val="20"/>
                <w:szCs w:val="20"/>
              </w:rPr>
              <w:t>-3</w:t>
            </w:r>
          </w:p>
        </w:tc>
      </w:tr>
      <w:tr w:rsidR="00CD199B" w:rsidRPr="00CD199B" w14:paraId="4EFF5B59" w14:textId="77777777" w:rsidTr="00CD199B">
        <w:trPr>
          <w:trHeight w:val="280"/>
        </w:trPr>
        <w:tc>
          <w:tcPr>
            <w:tcW w:w="2120" w:type="dxa"/>
            <w:tcBorders>
              <w:top w:val="nil"/>
              <w:left w:val="single" w:sz="8" w:space="0" w:color="auto"/>
              <w:bottom w:val="single" w:sz="4" w:space="0" w:color="auto"/>
              <w:right w:val="single" w:sz="4" w:space="0" w:color="auto"/>
            </w:tcBorders>
            <w:shd w:val="clear" w:color="auto" w:fill="auto"/>
            <w:vAlign w:val="bottom"/>
            <w:hideMark/>
          </w:tcPr>
          <w:p w14:paraId="63CA4804" w14:textId="77777777" w:rsidR="00CD199B" w:rsidRPr="00CD199B" w:rsidRDefault="00CD199B" w:rsidP="00CD199B">
            <w:pPr>
              <w:rPr>
                <w:rFonts w:ascii="Calibri" w:eastAsia="Times New Roman" w:hAnsi="Calibri" w:cs="Times New Roman"/>
                <w:sz w:val="20"/>
                <w:szCs w:val="20"/>
              </w:rPr>
            </w:pPr>
            <w:proofErr w:type="spellStart"/>
            <w:r w:rsidRPr="00CD199B">
              <w:rPr>
                <w:rFonts w:ascii="Calibri" w:eastAsia="Times New Roman" w:hAnsi="Calibri" w:cs="Times New Roman"/>
                <w:sz w:val="20"/>
                <w:szCs w:val="20"/>
              </w:rPr>
              <w:t>Lop,scatter</w:t>
            </w:r>
            <w:proofErr w:type="spellEnd"/>
            <w:r w:rsidRPr="00CD199B">
              <w:rPr>
                <w:rFonts w:ascii="Calibri" w:eastAsia="Times New Roman" w:hAnsi="Calibri" w:cs="Times New Roman"/>
                <w:sz w:val="20"/>
                <w:szCs w:val="20"/>
              </w:rPr>
              <w:t>, leave</w:t>
            </w:r>
          </w:p>
        </w:tc>
        <w:tc>
          <w:tcPr>
            <w:tcW w:w="1180" w:type="dxa"/>
            <w:tcBorders>
              <w:top w:val="nil"/>
              <w:left w:val="nil"/>
              <w:bottom w:val="single" w:sz="4" w:space="0" w:color="auto"/>
              <w:right w:val="single" w:sz="4" w:space="0" w:color="auto"/>
            </w:tcBorders>
            <w:shd w:val="clear" w:color="auto" w:fill="auto"/>
            <w:noWrap/>
            <w:vAlign w:val="bottom"/>
            <w:hideMark/>
          </w:tcPr>
          <w:p w14:paraId="6239B896" w14:textId="77777777" w:rsidR="00CD199B" w:rsidRPr="00CD199B" w:rsidRDefault="00CD199B" w:rsidP="00CD199B">
            <w:pPr>
              <w:jc w:val="right"/>
              <w:rPr>
                <w:rFonts w:ascii="Calibri" w:eastAsia="Times New Roman" w:hAnsi="Calibri" w:cs="Times New Roman"/>
                <w:sz w:val="20"/>
                <w:szCs w:val="20"/>
              </w:rPr>
            </w:pPr>
            <w:r w:rsidRPr="00CD199B">
              <w:rPr>
                <w:rFonts w:ascii="Calibri" w:eastAsia="Times New Roman" w:hAnsi="Calibri" w:cs="Times New Roman"/>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14:paraId="5B6B4B5A" w14:textId="77777777" w:rsidR="00CD199B" w:rsidRPr="00CD199B" w:rsidRDefault="00CD199B" w:rsidP="00CD199B">
            <w:pPr>
              <w:jc w:val="right"/>
              <w:rPr>
                <w:rFonts w:ascii="Calibri" w:eastAsia="Times New Roman" w:hAnsi="Calibri" w:cs="Times New Roman"/>
                <w:sz w:val="20"/>
                <w:szCs w:val="20"/>
              </w:rPr>
            </w:pPr>
            <w:r w:rsidRPr="00CD199B">
              <w:rPr>
                <w:rFonts w:ascii="Calibri" w:eastAsia="Times New Roman" w:hAnsi="Calibri" w:cs="Times New Roman"/>
                <w:sz w:val="20"/>
                <w:szCs w:val="20"/>
              </w:rPr>
              <w:t>-4</w:t>
            </w:r>
          </w:p>
        </w:tc>
        <w:tc>
          <w:tcPr>
            <w:tcW w:w="1080" w:type="dxa"/>
            <w:tcBorders>
              <w:top w:val="nil"/>
              <w:left w:val="nil"/>
              <w:bottom w:val="single" w:sz="4" w:space="0" w:color="auto"/>
              <w:right w:val="single" w:sz="4" w:space="0" w:color="auto"/>
            </w:tcBorders>
            <w:shd w:val="clear" w:color="auto" w:fill="auto"/>
            <w:noWrap/>
            <w:vAlign w:val="bottom"/>
            <w:hideMark/>
          </w:tcPr>
          <w:p w14:paraId="3E369503" w14:textId="77777777" w:rsidR="00CD199B" w:rsidRPr="00CD199B" w:rsidRDefault="00CD199B" w:rsidP="00CD199B">
            <w:pPr>
              <w:jc w:val="right"/>
              <w:rPr>
                <w:rFonts w:ascii="Calibri" w:eastAsia="Times New Roman" w:hAnsi="Calibri" w:cs="Times New Roman"/>
                <w:sz w:val="20"/>
                <w:szCs w:val="20"/>
              </w:rPr>
            </w:pPr>
            <w:r w:rsidRPr="00CD199B">
              <w:rPr>
                <w:rFonts w:ascii="Calibri" w:eastAsia="Times New Roman" w:hAnsi="Calibri" w:cs="Times New Roman"/>
                <w:sz w:val="20"/>
                <w:szCs w:val="20"/>
              </w:rPr>
              <w:t>1</w:t>
            </w:r>
          </w:p>
        </w:tc>
      </w:tr>
      <w:tr w:rsidR="00CD199B" w:rsidRPr="00CD199B" w14:paraId="1742B18C" w14:textId="77777777" w:rsidTr="00CD199B">
        <w:trPr>
          <w:trHeight w:val="280"/>
        </w:trPr>
        <w:tc>
          <w:tcPr>
            <w:tcW w:w="2120" w:type="dxa"/>
            <w:tcBorders>
              <w:top w:val="nil"/>
              <w:left w:val="single" w:sz="8" w:space="0" w:color="auto"/>
              <w:bottom w:val="single" w:sz="4" w:space="0" w:color="auto"/>
              <w:right w:val="single" w:sz="4" w:space="0" w:color="auto"/>
            </w:tcBorders>
            <w:shd w:val="clear" w:color="auto" w:fill="auto"/>
            <w:vAlign w:val="bottom"/>
            <w:hideMark/>
          </w:tcPr>
          <w:p w14:paraId="35603535" w14:textId="77777777" w:rsidR="00CD199B" w:rsidRPr="00CD199B" w:rsidRDefault="00CD199B" w:rsidP="00CD199B">
            <w:pPr>
              <w:rPr>
                <w:rFonts w:ascii="Calibri" w:eastAsia="Times New Roman" w:hAnsi="Calibri" w:cs="Times New Roman"/>
                <w:sz w:val="20"/>
                <w:szCs w:val="20"/>
              </w:rPr>
            </w:pPr>
            <w:r w:rsidRPr="00CD199B">
              <w:rPr>
                <w:rFonts w:ascii="Calibri" w:eastAsia="Times New Roman" w:hAnsi="Calibri" w:cs="Times New Roman"/>
                <w:sz w:val="20"/>
                <w:szCs w:val="20"/>
              </w:rPr>
              <w:t>Partial utilization</w:t>
            </w:r>
          </w:p>
        </w:tc>
        <w:tc>
          <w:tcPr>
            <w:tcW w:w="1180" w:type="dxa"/>
            <w:tcBorders>
              <w:top w:val="nil"/>
              <w:left w:val="nil"/>
              <w:bottom w:val="single" w:sz="4" w:space="0" w:color="auto"/>
              <w:right w:val="single" w:sz="4" w:space="0" w:color="auto"/>
            </w:tcBorders>
            <w:shd w:val="clear" w:color="auto" w:fill="auto"/>
            <w:noWrap/>
            <w:vAlign w:val="bottom"/>
            <w:hideMark/>
          </w:tcPr>
          <w:p w14:paraId="46E5FDDB" w14:textId="77777777" w:rsidR="00CD199B" w:rsidRPr="00CD199B" w:rsidRDefault="00CD199B" w:rsidP="00CD199B">
            <w:pPr>
              <w:jc w:val="right"/>
              <w:rPr>
                <w:rFonts w:ascii="Calibri" w:eastAsia="Times New Roman" w:hAnsi="Calibri" w:cs="Times New Roman"/>
                <w:sz w:val="20"/>
                <w:szCs w:val="20"/>
              </w:rPr>
            </w:pPr>
            <w:r w:rsidRPr="00CD199B">
              <w:rPr>
                <w:rFonts w:ascii="Calibri" w:eastAsia="Times New Roman" w:hAnsi="Calibri" w:cs="Times New Roman"/>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14:paraId="00489EF7" w14:textId="77777777" w:rsidR="00CD199B" w:rsidRPr="00CD199B" w:rsidRDefault="00CD199B" w:rsidP="00CD199B">
            <w:pPr>
              <w:jc w:val="right"/>
              <w:rPr>
                <w:rFonts w:ascii="Calibri" w:eastAsia="Times New Roman" w:hAnsi="Calibri" w:cs="Times New Roman"/>
                <w:sz w:val="20"/>
                <w:szCs w:val="20"/>
              </w:rPr>
            </w:pPr>
            <w:r w:rsidRPr="00CD199B">
              <w:rPr>
                <w:rFonts w:ascii="Calibri" w:eastAsia="Times New Roman" w:hAnsi="Calibri" w:cs="Times New Roman"/>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7D072C7D" w14:textId="77777777" w:rsidR="00CD199B" w:rsidRPr="00CD199B" w:rsidRDefault="00CD199B" w:rsidP="00CD199B">
            <w:pPr>
              <w:jc w:val="right"/>
              <w:rPr>
                <w:rFonts w:ascii="Calibri" w:eastAsia="Times New Roman" w:hAnsi="Calibri" w:cs="Times New Roman"/>
                <w:sz w:val="20"/>
                <w:szCs w:val="20"/>
              </w:rPr>
            </w:pPr>
            <w:r w:rsidRPr="00CD199B">
              <w:rPr>
                <w:rFonts w:ascii="Calibri" w:eastAsia="Times New Roman" w:hAnsi="Calibri" w:cs="Times New Roman"/>
                <w:sz w:val="20"/>
                <w:szCs w:val="20"/>
              </w:rPr>
              <w:t>7</w:t>
            </w:r>
          </w:p>
        </w:tc>
      </w:tr>
      <w:tr w:rsidR="00CD199B" w:rsidRPr="00CD199B" w14:paraId="1EF398C8" w14:textId="77777777" w:rsidTr="00CD199B">
        <w:trPr>
          <w:trHeight w:val="300"/>
        </w:trPr>
        <w:tc>
          <w:tcPr>
            <w:tcW w:w="2120" w:type="dxa"/>
            <w:tcBorders>
              <w:top w:val="nil"/>
              <w:left w:val="single" w:sz="8" w:space="0" w:color="auto"/>
              <w:bottom w:val="single" w:sz="8" w:space="0" w:color="auto"/>
              <w:right w:val="single" w:sz="4" w:space="0" w:color="auto"/>
            </w:tcBorders>
            <w:shd w:val="clear" w:color="auto" w:fill="auto"/>
            <w:vAlign w:val="bottom"/>
            <w:hideMark/>
          </w:tcPr>
          <w:p w14:paraId="74A20C91" w14:textId="77777777" w:rsidR="00CD199B" w:rsidRPr="00CD199B" w:rsidRDefault="00CD199B" w:rsidP="00CD199B">
            <w:pPr>
              <w:rPr>
                <w:rFonts w:ascii="Calibri" w:eastAsia="Times New Roman" w:hAnsi="Calibri" w:cs="Times New Roman"/>
                <w:sz w:val="20"/>
                <w:szCs w:val="20"/>
              </w:rPr>
            </w:pPr>
            <w:r w:rsidRPr="00CD199B">
              <w:rPr>
                <w:rFonts w:ascii="Calibri" w:eastAsia="Times New Roman" w:hAnsi="Calibri" w:cs="Times New Roman"/>
                <w:sz w:val="20"/>
                <w:szCs w:val="20"/>
              </w:rPr>
              <w:t>Full utilization</w:t>
            </w:r>
          </w:p>
        </w:tc>
        <w:tc>
          <w:tcPr>
            <w:tcW w:w="1180" w:type="dxa"/>
            <w:tcBorders>
              <w:top w:val="nil"/>
              <w:left w:val="nil"/>
              <w:bottom w:val="single" w:sz="8" w:space="0" w:color="auto"/>
              <w:right w:val="single" w:sz="4" w:space="0" w:color="auto"/>
            </w:tcBorders>
            <w:shd w:val="clear" w:color="auto" w:fill="auto"/>
            <w:noWrap/>
            <w:vAlign w:val="bottom"/>
            <w:hideMark/>
          </w:tcPr>
          <w:p w14:paraId="07C9062C" w14:textId="77777777" w:rsidR="00CD199B" w:rsidRPr="00CD199B" w:rsidRDefault="00CD199B" w:rsidP="00CD199B">
            <w:pPr>
              <w:jc w:val="right"/>
              <w:rPr>
                <w:rFonts w:ascii="Calibri" w:eastAsia="Times New Roman" w:hAnsi="Calibri" w:cs="Times New Roman"/>
                <w:sz w:val="20"/>
                <w:szCs w:val="20"/>
              </w:rPr>
            </w:pPr>
            <w:r w:rsidRPr="00CD199B">
              <w:rPr>
                <w:rFonts w:ascii="Calibri" w:eastAsia="Times New Roman" w:hAnsi="Calibri" w:cs="Times New Roman"/>
                <w:sz w:val="20"/>
                <w:szCs w:val="20"/>
              </w:rPr>
              <w:t>0</w:t>
            </w:r>
          </w:p>
        </w:tc>
        <w:tc>
          <w:tcPr>
            <w:tcW w:w="1060" w:type="dxa"/>
            <w:tcBorders>
              <w:top w:val="nil"/>
              <w:left w:val="nil"/>
              <w:bottom w:val="single" w:sz="8" w:space="0" w:color="auto"/>
              <w:right w:val="single" w:sz="4" w:space="0" w:color="auto"/>
            </w:tcBorders>
            <w:shd w:val="clear" w:color="auto" w:fill="auto"/>
            <w:noWrap/>
            <w:vAlign w:val="bottom"/>
            <w:hideMark/>
          </w:tcPr>
          <w:p w14:paraId="45FE8440" w14:textId="77777777" w:rsidR="00CD199B" w:rsidRPr="00CD199B" w:rsidRDefault="00CD199B" w:rsidP="00CD199B">
            <w:pPr>
              <w:jc w:val="right"/>
              <w:rPr>
                <w:rFonts w:ascii="Calibri" w:eastAsia="Times New Roman" w:hAnsi="Calibri" w:cs="Times New Roman"/>
                <w:sz w:val="20"/>
                <w:szCs w:val="20"/>
              </w:rPr>
            </w:pPr>
            <w:r w:rsidRPr="00CD199B">
              <w:rPr>
                <w:rFonts w:ascii="Calibri" w:eastAsia="Times New Roman" w:hAnsi="Calibri" w:cs="Times New Roman"/>
                <w:sz w:val="20"/>
                <w:szCs w:val="20"/>
              </w:rPr>
              <w:t>9</w:t>
            </w:r>
          </w:p>
        </w:tc>
        <w:tc>
          <w:tcPr>
            <w:tcW w:w="1080" w:type="dxa"/>
            <w:tcBorders>
              <w:top w:val="nil"/>
              <w:left w:val="nil"/>
              <w:bottom w:val="single" w:sz="8" w:space="0" w:color="auto"/>
              <w:right w:val="single" w:sz="4" w:space="0" w:color="auto"/>
            </w:tcBorders>
            <w:shd w:val="clear" w:color="auto" w:fill="auto"/>
            <w:noWrap/>
            <w:vAlign w:val="bottom"/>
            <w:hideMark/>
          </w:tcPr>
          <w:p w14:paraId="502462EA" w14:textId="77777777" w:rsidR="00CD199B" w:rsidRPr="00CD199B" w:rsidRDefault="00CD199B" w:rsidP="00CD199B">
            <w:pPr>
              <w:jc w:val="right"/>
              <w:rPr>
                <w:rFonts w:ascii="Calibri" w:eastAsia="Times New Roman" w:hAnsi="Calibri" w:cs="Times New Roman"/>
                <w:sz w:val="20"/>
                <w:szCs w:val="20"/>
              </w:rPr>
            </w:pPr>
            <w:r w:rsidRPr="00CD199B">
              <w:rPr>
                <w:rFonts w:ascii="Calibri" w:eastAsia="Times New Roman" w:hAnsi="Calibri" w:cs="Times New Roman"/>
                <w:sz w:val="20"/>
                <w:szCs w:val="20"/>
              </w:rPr>
              <w:t>14</w:t>
            </w:r>
          </w:p>
        </w:tc>
      </w:tr>
    </w:tbl>
    <w:p w14:paraId="6781482C" w14:textId="77777777" w:rsidR="00F02585" w:rsidRDefault="00F02585"/>
    <w:p w14:paraId="65BAB3E5" w14:textId="1530B3F2" w:rsidR="00F02585" w:rsidRDefault="00A01B03">
      <w:r>
        <w:t xml:space="preserve">Assuming that treatments could also reduce the areal extent of future fires significantly increased the net benefits of all treatments. </w:t>
      </w:r>
      <w:r w:rsidR="00575134">
        <w:t xml:space="preserve">This assumption is based on findings from previous studies demonstrating not only lower spread rates in treated stands, but greater efficacy of fire control efforts relative to untreated conditions. </w:t>
      </w:r>
      <w:r w:rsidR="007C03C7">
        <w:t xml:space="preserve">The following table averages the many scenarios to create two common scenarios where treatments are assumed to reduce the areal extent of wildfires in treated stands by 20%. The even mix of treatments tries to capture the reality of the diversity of micro-sites within an ownership and the fact that a range of treatments may be used. The </w:t>
      </w:r>
      <w:r w:rsidR="0057153D">
        <w:t xml:space="preserve">‘commercial thin + fuels treatment’ is modeled after practices undertaken by larger timber companies in areas with good access and no very steep areas. </w:t>
      </w:r>
    </w:p>
    <w:p w14:paraId="7F3D19F1" w14:textId="77777777" w:rsidR="00A01B03" w:rsidRDefault="00A01B03"/>
    <w:p w14:paraId="681AD2DD" w14:textId="77777777" w:rsidR="007C03C7" w:rsidRDefault="007C03C7"/>
    <w:p w14:paraId="617C148F" w14:textId="77777777" w:rsidR="0057153D" w:rsidRDefault="0057153D"/>
    <w:p w14:paraId="702DA9D5" w14:textId="77777777" w:rsidR="0057153D" w:rsidRDefault="0057153D"/>
    <w:p w14:paraId="22D94232" w14:textId="77777777" w:rsidR="0057153D" w:rsidRDefault="0057153D"/>
    <w:p w14:paraId="03CD4EB6" w14:textId="77777777" w:rsidR="0057153D" w:rsidRDefault="0057153D"/>
    <w:p w14:paraId="765147B9" w14:textId="77777777" w:rsidR="0057153D" w:rsidRDefault="0057153D"/>
    <w:p w14:paraId="6818687C" w14:textId="77777777" w:rsidR="007C03C7" w:rsidRDefault="007C03C7"/>
    <w:p w14:paraId="0B6D5516" w14:textId="77777777" w:rsidR="007C03C7" w:rsidRDefault="007C03C7"/>
    <w:p w14:paraId="0FCAAD4B" w14:textId="724A5E0E" w:rsidR="00DD426A" w:rsidRDefault="007B0CC3" w:rsidP="00CD199B">
      <w:r>
        <w:t xml:space="preserve">Table 7: Estimated net carbon/climate benefits in </w:t>
      </w:r>
      <w:proofErr w:type="spellStart"/>
      <w:r>
        <w:t>tC</w:t>
      </w:r>
      <w:proofErr w:type="spellEnd"/>
      <w:r>
        <w:t xml:space="preserve">/ha for </w:t>
      </w:r>
      <w:r w:rsidR="00CD199B">
        <w:t>an even mix of treatments (use products, lop and scatter, burn) and a commercial thin + fuels treatment project</w:t>
      </w:r>
    </w:p>
    <w:tbl>
      <w:tblPr>
        <w:tblW w:w="8200" w:type="dxa"/>
        <w:tblInd w:w="98" w:type="dxa"/>
        <w:tblLook w:val="04A0" w:firstRow="1" w:lastRow="0" w:firstColumn="1" w:lastColumn="0" w:noHBand="0" w:noVBand="1"/>
      </w:tblPr>
      <w:tblGrid>
        <w:gridCol w:w="2120"/>
        <w:gridCol w:w="1180"/>
        <w:gridCol w:w="1060"/>
        <w:gridCol w:w="1080"/>
        <w:gridCol w:w="2760"/>
      </w:tblGrid>
      <w:tr w:rsidR="00CD199B" w:rsidRPr="00CD199B" w14:paraId="44FD6136" w14:textId="77777777" w:rsidTr="004D36B9">
        <w:trPr>
          <w:trHeight w:val="583"/>
        </w:trPr>
        <w:tc>
          <w:tcPr>
            <w:tcW w:w="8200" w:type="dxa"/>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14:paraId="0B65370B" w14:textId="1971ABDA" w:rsidR="00CD199B" w:rsidRPr="00CD199B" w:rsidRDefault="00CD199B" w:rsidP="00CD199B">
            <w:pPr>
              <w:jc w:val="center"/>
              <w:rPr>
                <w:rFonts w:ascii="Calibri" w:eastAsia="Times New Roman" w:hAnsi="Calibri" w:cs="Times New Roman"/>
                <w:b/>
                <w:bCs/>
                <w:sz w:val="20"/>
                <w:szCs w:val="20"/>
              </w:rPr>
            </w:pPr>
            <w:r w:rsidRPr="00CD199B">
              <w:rPr>
                <w:rFonts w:ascii="Calibri" w:eastAsia="Times New Roman" w:hAnsi="Calibri" w:cs="Times New Roman"/>
                <w:b/>
                <w:bCs/>
                <w:sz w:val="20"/>
                <w:szCs w:val="20"/>
              </w:rPr>
              <w:t>Carbon benefits summary</w:t>
            </w:r>
            <w:r w:rsidR="00913F78">
              <w:rPr>
                <w:rFonts w:ascii="Calibri" w:eastAsia="Times New Roman" w:hAnsi="Calibri" w:cs="Times New Roman"/>
                <w:b/>
                <w:bCs/>
                <w:sz w:val="20"/>
                <w:szCs w:val="20"/>
              </w:rPr>
              <w:t xml:space="preserve"> with assumption of 20% reduction in post treatment wildfire burned area</w:t>
            </w:r>
          </w:p>
        </w:tc>
      </w:tr>
      <w:tr w:rsidR="00CD199B" w:rsidRPr="00CD199B" w14:paraId="6A91F936" w14:textId="77777777" w:rsidTr="004D36B9">
        <w:trPr>
          <w:trHeight w:val="610"/>
        </w:trPr>
        <w:tc>
          <w:tcPr>
            <w:tcW w:w="2120" w:type="dxa"/>
            <w:vMerge w:val="restart"/>
            <w:tcBorders>
              <w:top w:val="nil"/>
              <w:left w:val="single" w:sz="8" w:space="0" w:color="auto"/>
              <w:bottom w:val="single" w:sz="4" w:space="0" w:color="000000"/>
              <w:right w:val="single" w:sz="4" w:space="0" w:color="auto"/>
            </w:tcBorders>
            <w:shd w:val="clear" w:color="auto" w:fill="auto"/>
            <w:vAlign w:val="bottom"/>
            <w:hideMark/>
          </w:tcPr>
          <w:p w14:paraId="478721A5" w14:textId="77777777" w:rsidR="00CD199B" w:rsidRPr="00CD199B" w:rsidRDefault="00CD199B" w:rsidP="00CD199B">
            <w:pPr>
              <w:jc w:val="center"/>
              <w:rPr>
                <w:rFonts w:ascii="Calibri" w:eastAsia="Times New Roman" w:hAnsi="Calibri" w:cs="Times New Roman"/>
                <w:sz w:val="20"/>
                <w:szCs w:val="20"/>
              </w:rPr>
            </w:pPr>
            <w:r w:rsidRPr="00CD199B">
              <w:rPr>
                <w:rFonts w:ascii="Calibri" w:eastAsia="Times New Roman" w:hAnsi="Calibri" w:cs="Times New Roman"/>
                <w:sz w:val="20"/>
                <w:szCs w:val="20"/>
              </w:rPr>
              <w:t> </w:t>
            </w:r>
          </w:p>
        </w:tc>
        <w:tc>
          <w:tcPr>
            <w:tcW w:w="2240" w:type="dxa"/>
            <w:gridSpan w:val="2"/>
            <w:tcBorders>
              <w:top w:val="single" w:sz="8" w:space="0" w:color="auto"/>
              <w:left w:val="nil"/>
              <w:bottom w:val="single" w:sz="4" w:space="0" w:color="auto"/>
              <w:right w:val="single" w:sz="4" w:space="0" w:color="auto"/>
            </w:tcBorders>
            <w:shd w:val="clear" w:color="000000" w:fill="D8E4BC"/>
            <w:vAlign w:val="center"/>
            <w:hideMark/>
          </w:tcPr>
          <w:p w14:paraId="2622864B" w14:textId="77777777" w:rsidR="00CD199B" w:rsidRPr="00CD199B" w:rsidRDefault="00CD199B" w:rsidP="00CD199B">
            <w:pPr>
              <w:jc w:val="center"/>
              <w:rPr>
                <w:rFonts w:ascii="Calibri" w:eastAsia="Times New Roman" w:hAnsi="Calibri" w:cs="Times New Roman"/>
                <w:sz w:val="20"/>
                <w:szCs w:val="20"/>
              </w:rPr>
            </w:pPr>
            <w:r w:rsidRPr="00CD199B">
              <w:rPr>
                <w:rFonts w:ascii="Calibri" w:eastAsia="Times New Roman" w:hAnsi="Calibri" w:cs="Times New Roman"/>
                <w:sz w:val="20"/>
                <w:szCs w:val="20"/>
              </w:rPr>
              <w:t>Average net C change (</w:t>
            </w:r>
            <w:proofErr w:type="spellStart"/>
            <w:r w:rsidRPr="00CD199B">
              <w:rPr>
                <w:rFonts w:ascii="Calibri" w:eastAsia="Times New Roman" w:hAnsi="Calibri" w:cs="Times New Roman"/>
                <w:sz w:val="20"/>
                <w:szCs w:val="20"/>
              </w:rPr>
              <w:t>MgC</w:t>
            </w:r>
            <w:proofErr w:type="spellEnd"/>
            <w:r w:rsidRPr="00CD199B">
              <w:rPr>
                <w:rFonts w:ascii="Calibri" w:eastAsia="Times New Roman" w:hAnsi="Calibri" w:cs="Times New Roman"/>
                <w:sz w:val="20"/>
                <w:szCs w:val="20"/>
              </w:rPr>
              <w:t>/ha)</w:t>
            </w:r>
          </w:p>
        </w:tc>
        <w:tc>
          <w:tcPr>
            <w:tcW w:w="3840" w:type="dxa"/>
            <w:gridSpan w:val="2"/>
            <w:tcBorders>
              <w:top w:val="single" w:sz="8" w:space="0" w:color="auto"/>
              <w:left w:val="nil"/>
              <w:bottom w:val="single" w:sz="4" w:space="0" w:color="auto"/>
              <w:right w:val="single" w:sz="8" w:space="0" w:color="000000"/>
            </w:tcBorders>
            <w:shd w:val="clear" w:color="000000" w:fill="B7DEE8"/>
            <w:vAlign w:val="bottom"/>
            <w:hideMark/>
          </w:tcPr>
          <w:p w14:paraId="1586AC70" w14:textId="77777777" w:rsidR="00CD199B" w:rsidRPr="00CD199B" w:rsidRDefault="00CD199B" w:rsidP="00CD199B">
            <w:pPr>
              <w:jc w:val="center"/>
              <w:rPr>
                <w:rFonts w:ascii="Calibri" w:eastAsia="Times New Roman" w:hAnsi="Calibri" w:cs="Times New Roman"/>
                <w:sz w:val="20"/>
                <w:szCs w:val="20"/>
              </w:rPr>
            </w:pPr>
            <w:r w:rsidRPr="00CD199B">
              <w:rPr>
                <w:rFonts w:ascii="Calibri" w:eastAsia="Times New Roman" w:hAnsi="Calibri" w:cs="Times New Roman"/>
                <w:sz w:val="20"/>
                <w:szCs w:val="20"/>
              </w:rPr>
              <w:t>Climate benefit gain as % of initial forest stand carbon</w:t>
            </w:r>
          </w:p>
        </w:tc>
      </w:tr>
      <w:tr w:rsidR="00CD199B" w:rsidRPr="00CD199B" w14:paraId="51F736B6" w14:textId="77777777" w:rsidTr="004D36B9">
        <w:trPr>
          <w:trHeight w:val="1095"/>
        </w:trPr>
        <w:tc>
          <w:tcPr>
            <w:tcW w:w="2120" w:type="dxa"/>
            <w:vMerge/>
            <w:tcBorders>
              <w:top w:val="nil"/>
              <w:left w:val="single" w:sz="8" w:space="0" w:color="auto"/>
              <w:bottom w:val="single" w:sz="4" w:space="0" w:color="000000"/>
              <w:right w:val="single" w:sz="4" w:space="0" w:color="auto"/>
            </w:tcBorders>
            <w:vAlign w:val="center"/>
            <w:hideMark/>
          </w:tcPr>
          <w:p w14:paraId="7D12731E" w14:textId="77777777" w:rsidR="00CD199B" w:rsidRPr="00CD199B" w:rsidRDefault="00CD199B" w:rsidP="00CD199B">
            <w:pPr>
              <w:rPr>
                <w:rFonts w:ascii="Calibri" w:eastAsia="Times New Roman" w:hAnsi="Calibri" w:cs="Times New Roman"/>
                <w:sz w:val="20"/>
                <w:szCs w:val="20"/>
              </w:rPr>
            </w:pPr>
          </w:p>
        </w:tc>
        <w:tc>
          <w:tcPr>
            <w:tcW w:w="1180" w:type="dxa"/>
            <w:tcBorders>
              <w:top w:val="nil"/>
              <w:left w:val="nil"/>
              <w:bottom w:val="single" w:sz="4" w:space="0" w:color="auto"/>
              <w:right w:val="single" w:sz="4" w:space="0" w:color="auto"/>
            </w:tcBorders>
            <w:shd w:val="clear" w:color="000000" w:fill="E6B8B7"/>
            <w:vAlign w:val="bottom"/>
            <w:hideMark/>
          </w:tcPr>
          <w:p w14:paraId="47D73252" w14:textId="77777777" w:rsidR="00CD199B" w:rsidRPr="00CD199B" w:rsidRDefault="00CD199B" w:rsidP="00CD199B">
            <w:pPr>
              <w:rPr>
                <w:rFonts w:ascii="Calibri" w:eastAsia="Times New Roman" w:hAnsi="Calibri" w:cs="Times New Roman"/>
                <w:sz w:val="20"/>
                <w:szCs w:val="20"/>
              </w:rPr>
            </w:pPr>
            <w:r w:rsidRPr="00CD199B">
              <w:rPr>
                <w:rFonts w:ascii="Calibri" w:eastAsia="Times New Roman" w:hAnsi="Calibri" w:cs="Times New Roman"/>
                <w:sz w:val="20"/>
                <w:szCs w:val="20"/>
              </w:rPr>
              <w:t>Effective treatment</w:t>
            </w:r>
          </w:p>
        </w:tc>
        <w:tc>
          <w:tcPr>
            <w:tcW w:w="1060" w:type="dxa"/>
            <w:tcBorders>
              <w:top w:val="nil"/>
              <w:left w:val="nil"/>
              <w:bottom w:val="single" w:sz="4" w:space="0" w:color="auto"/>
              <w:right w:val="single" w:sz="4" w:space="0" w:color="auto"/>
            </w:tcBorders>
            <w:shd w:val="clear" w:color="000000" w:fill="DA9694"/>
            <w:vAlign w:val="bottom"/>
            <w:hideMark/>
          </w:tcPr>
          <w:p w14:paraId="25B24756" w14:textId="77777777" w:rsidR="00CD199B" w:rsidRPr="00CD199B" w:rsidRDefault="00CD199B" w:rsidP="00CD199B">
            <w:pPr>
              <w:rPr>
                <w:rFonts w:ascii="Calibri" w:eastAsia="Times New Roman" w:hAnsi="Calibri" w:cs="Times New Roman"/>
                <w:sz w:val="20"/>
                <w:szCs w:val="20"/>
              </w:rPr>
            </w:pPr>
            <w:r w:rsidRPr="00CD199B">
              <w:rPr>
                <w:rFonts w:ascii="Calibri" w:eastAsia="Times New Roman" w:hAnsi="Calibri" w:cs="Times New Roman"/>
                <w:sz w:val="20"/>
                <w:szCs w:val="20"/>
              </w:rPr>
              <w:t>Very effective treatment</w:t>
            </w:r>
          </w:p>
        </w:tc>
        <w:tc>
          <w:tcPr>
            <w:tcW w:w="1080" w:type="dxa"/>
            <w:tcBorders>
              <w:top w:val="nil"/>
              <w:left w:val="nil"/>
              <w:bottom w:val="single" w:sz="4" w:space="0" w:color="auto"/>
              <w:right w:val="single" w:sz="4" w:space="0" w:color="auto"/>
            </w:tcBorders>
            <w:shd w:val="clear" w:color="000000" w:fill="E6B8B7"/>
            <w:vAlign w:val="bottom"/>
            <w:hideMark/>
          </w:tcPr>
          <w:p w14:paraId="43677606" w14:textId="77777777" w:rsidR="00CD199B" w:rsidRPr="00CD199B" w:rsidRDefault="00CD199B" w:rsidP="00CD199B">
            <w:pPr>
              <w:rPr>
                <w:rFonts w:ascii="Calibri" w:eastAsia="Times New Roman" w:hAnsi="Calibri" w:cs="Times New Roman"/>
                <w:sz w:val="20"/>
                <w:szCs w:val="20"/>
              </w:rPr>
            </w:pPr>
            <w:r w:rsidRPr="00CD199B">
              <w:rPr>
                <w:rFonts w:ascii="Calibri" w:eastAsia="Times New Roman" w:hAnsi="Calibri" w:cs="Times New Roman"/>
                <w:sz w:val="20"/>
                <w:szCs w:val="20"/>
              </w:rPr>
              <w:t>Effective treatment</w:t>
            </w:r>
          </w:p>
        </w:tc>
        <w:tc>
          <w:tcPr>
            <w:tcW w:w="2760" w:type="dxa"/>
            <w:tcBorders>
              <w:top w:val="nil"/>
              <w:left w:val="nil"/>
              <w:bottom w:val="single" w:sz="4" w:space="0" w:color="auto"/>
              <w:right w:val="single" w:sz="8" w:space="0" w:color="auto"/>
            </w:tcBorders>
            <w:shd w:val="clear" w:color="000000" w:fill="DA9694"/>
            <w:vAlign w:val="bottom"/>
            <w:hideMark/>
          </w:tcPr>
          <w:p w14:paraId="73279E77" w14:textId="77777777" w:rsidR="00CD199B" w:rsidRPr="00CD199B" w:rsidRDefault="00CD199B" w:rsidP="00CD199B">
            <w:pPr>
              <w:rPr>
                <w:rFonts w:ascii="Calibri" w:eastAsia="Times New Roman" w:hAnsi="Calibri" w:cs="Times New Roman"/>
                <w:sz w:val="20"/>
                <w:szCs w:val="20"/>
              </w:rPr>
            </w:pPr>
            <w:r w:rsidRPr="00CD199B">
              <w:rPr>
                <w:rFonts w:ascii="Calibri" w:eastAsia="Times New Roman" w:hAnsi="Calibri" w:cs="Times New Roman"/>
                <w:sz w:val="20"/>
                <w:szCs w:val="20"/>
              </w:rPr>
              <w:t>Very effective treatment</w:t>
            </w:r>
          </w:p>
        </w:tc>
      </w:tr>
      <w:tr w:rsidR="00CD199B" w:rsidRPr="00CD199B" w14:paraId="17D1BC6F" w14:textId="77777777" w:rsidTr="004D36B9">
        <w:trPr>
          <w:trHeight w:val="280"/>
        </w:trPr>
        <w:tc>
          <w:tcPr>
            <w:tcW w:w="2120" w:type="dxa"/>
            <w:tcBorders>
              <w:top w:val="nil"/>
              <w:left w:val="single" w:sz="8" w:space="0" w:color="auto"/>
              <w:bottom w:val="single" w:sz="4" w:space="0" w:color="auto"/>
              <w:right w:val="single" w:sz="4" w:space="0" w:color="auto"/>
            </w:tcBorders>
            <w:shd w:val="clear" w:color="auto" w:fill="auto"/>
            <w:vAlign w:val="bottom"/>
            <w:hideMark/>
          </w:tcPr>
          <w:p w14:paraId="13FACB26" w14:textId="77777777" w:rsidR="00CD199B" w:rsidRPr="00CD199B" w:rsidRDefault="00CD199B" w:rsidP="00CD199B">
            <w:pPr>
              <w:rPr>
                <w:rFonts w:ascii="Calibri" w:eastAsia="Times New Roman" w:hAnsi="Calibri" w:cs="Times New Roman"/>
                <w:sz w:val="20"/>
                <w:szCs w:val="20"/>
              </w:rPr>
            </w:pPr>
            <w:r w:rsidRPr="00CD199B">
              <w:rPr>
                <w:rFonts w:ascii="Calibri" w:eastAsia="Times New Roman" w:hAnsi="Calibri" w:cs="Times New Roman"/>
                <w:sz w:val="20"/>
                <w:szCs w:val="20"/>
              </w:rPr>
              <w:t>Even mix of treatments</w:t>
            </w:r>
          </w:p>
        </w:tc>
        <w:tc>
          <w:tcPr>
            <w:tcW w:w="1180" w:type="dxa"/>
            <w:tcBorders>
              <w:top w:val="nil"/>
              <w:left w:val="nil"/>
              <w:bottom w:val="single" w:sz="4" w:space="0" w:color="auto"/>
              <w:right w:val="single" w:sz="4" w:space="0" w:color="auto"/>
            </w:tcBorders>
            <w:shd w:val="clear" w:color="auto" w:fill="auto"/>
            <w:noWrap/>
            <w:vAlign w:val="bottom"/>
            <w:hideMark/>
          </w:tcPr>
          <w:p w14:paraId="17501AEB" w14:textId="77777777" w:rsidR="00CD199B" w:rsidRPr="00CD199B" w:rsidRDefault="00CD199B" w:rsidP="00CD199B">
            <w:pPr>
              <w:jc w:val="right"/>
              <w:rPr>
                <w:rFonts w:ascii="Calibri" w:eastAsia="Times New Roman" w:hAnsi="Calibri" w:cs="Times New Roman"/>
                <w:sz w:val="20"/>
                <w:szCs w:val="20"/>
              </w:rPr>
            </w:pPr>
            <w:r w:rsidRPr="00CD199B">
              <w:rPr>
                <w:rFonts w:ascii="Calibri" w:eastAsia="Times New Roman" w:hAnsi="Calibri" w:cs="Times New Roman"/>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14:paraId="77255FFE" w14:textId="77777777" w:rsidR="00CD199B" w:rsidRPr="00CD199B" w:rsidRDefault="00CD199B" w:rsidP="00CD199B">
            <w:pPr>
              <w:jc w:val="right"/>
              <w:rPr>
                <w:rFonts w:ascii="Calibri" w:eastAsia="Times New Roman" w:hAnsi="Calibri" w:cs="Times New Roman"/>
                <w:sz w:val="20"/>
                <w:szCs w:val="20"/>
              </w:rPr>
            </w:pPr>
            <w:r w:rsidRPr="00CD199B">
              <w:rPr>
                <w:rFonts w:ascii="Calibri" w:eastAsia="Times New Roman" w:hAnsi="Calibri" w:cs="Times New Roman"/>
                <w:sz w:val="20"/>
                <w:szCs w:val="20"/>
              </w:rPr>
              <w:t>5</w:t>
            </w:r>
          </w:p>
        </w:tc>
        <w:tc>
          <w:tcPr>
            <w:tcW w:w="1080" w:type="dxa"/>
            <w:tcBorders>
              <w:top w:val="nil"/>
              <w:left w:val="nil"/>
              <w:bottom w:val="single" w:sz="4" w:space="0" w:color="auto"/>
              <w:right w:val="single" w:sz="4" w:space="0" w:color="auto"/>
            </w:tcBorders>
            <w:shd w:val="clear" w:color="auto" w:fill="auto"/>
            <w:noWrap/>
            <w:vAlign w:val="bottom"/>
            <w:hideMark/>
          </w:tcPr>
          <w:p w14:paraId="6FE07D12" w14:textId="77777777" w:rsidR="00CD199B" w:rsidRPr="00CD199B" w:rsidRDefault="00CD199B" w:rsidP="00CD199B">
            <w:pPr>
              <w:jc w:val="right"/>
              <w:rPr>
                <w:rFonts w:ascii="Calibri" w:eastAsia="Times New Roman" w:hAnsi="Calibri" w:cs="Times New Roman"/>
                <w:sz w:val="20"/>
                <w:szCs w:val="20"/>
              </w:rPr>
            </w:pPr>
            <w:r w:rsidRPr="00CD199B">
              <w:rPr>
                <w:rFonts w:ascii="Calibri" w:eastAsia="Times New Roman" w:hAnsi="Calibri" w:cs="Times New Roman"/>
                <w:sz w:val="20"/>
                <w:szCs w:val="20"/>
              </w:rPr>
              <w:t>1%</w:t>
            </w:r>
          </w:p>
        </w:tc>
        <w:tc>
          <w:tcPr>
            <w:tcW w:w="2760" w:type="dxa"/>
            <w:tcBorders>
              <w:top w:val="nil"/>
              <w:left w:val="nil"/>
              <w:bottom w:val="single" w:sz="4" w:space="0" w:color="auto"/>
              <w:right w:val="single" w:sz="8" w:space="0" w:color="auto"/>
            </w:tcBorders>
            <w:shd w:val="clear" w:color="auto" w:fill="auto"/>
            <w:noWrap/>
            <w:vAlign w:val="bottom"/>
            <w:hideMark/>
          </w:tcPr>
          <w:p w14:paraId="122B07AA" w14:textId="77777777" w:rsidR="00CD199B" w:rsidRPr="00CD199B" w:rsidRDefault="00CD199B" w:rsidP="00CD199B">
            <w:pPr>
              <w:jc w:val="right"/>
              <w:rPr>
                <w:rFonts w:ascii="Calibri" w:eastAsia="Times New Roman" w:hAnsi="Calibri" w:cs="Times New Roman"/>
                <w:sz w:val="20"/>
                <w:szCs w:val="20"/>
              </w:rPr>
            </w:pPr>
            <w:r w:rsidRPr="00CD199B">
              <w:rPr>
                <w:rFonts w:ascii="Calibri" w:eastAsia="Times New Roman" w:hAnsi="Calibri" w:cs="Times New Roman"/>
                <w:sz w:val="20"/>
                <w:szCs w:val="20"/>
              </w:rPr>
              <w:t>3%</w:t>
            </w:r>
          </w:p>
        </w:tc>
      </w:tr>
      <w:tr w:rsidR="00CD199B" w:rsidRPr="00CD199B" w14:paraId="58B4CEC1" w14:textId="77777777" w:rsidTr="004D36B9">
        <w:trPr>
          <w:trHeight w:val="287"/>
        </w:trPr>
        <w:tc>
          <w:tcPr>
            <w:tcW w:w="2120" w:type="dxa"/>
            <w:tcBorders>
              <w:top w:val="nil"/>
              <w:left w:val="single" w:sz="8" w:space="0" w:color="auto"/>
              <w:bottom w:val="single" w:sz="8" w:space="0" w:color="auto"/>
              <w:right w:val="single" w:sz="4" w:space="0" w:color="auto"/>
            </w:tcBorders>
            <w:shd w:val="clear" w:color="auto" w:fill="auto"/>
            <w:vAlign w:val="bottom"/>
            <w:hideMark/>
          </w:tcPr>
          <w:p w14:paraId="6436A039" w14:textId="12A07B5F" w:rsidR="00CD199B" w:rsidRPr="00CD199B" w:rsidRDefault="00A775E3" w:rsidP="00A775E3">
            <w:pPr>
              <w:rPr>
                <w:rFonts w:ascii="Calibri" w:eastAsia="Times New Roman" w:hAnsi="Calibri" w:cs="Times New Roman"/>
                <w:sz w:val="20"/>
                <w:szCs w:val="20"/>
              </w:rPr>
            </w:pPr>
            <w:r>
              <w:rPr>
                <w:rFonts w:ascii="Calibri" w:eastAsia="Times New Roman" w:hAnsi="Calibri" w:cs="Times New Roman"/>
                <w:sz w:val="20"/>
                <w:szCs w:val="20"/>
              </w:rPr>
              <w:t xml:space="preserve">Commercial </w:t>
            </w:r>
            <w:r w:rsidR="00A01B03">
              <w:rPr>
                <w:rFonts w:ascii="Calibri" w:eastAsia="Times New Roman" w:hAnsi="Calibri" w:cs="Times New Roman"/>
                <w:sz w:val="20"/>
                <w:szCs w:val="20"/>
              </w:rPr>
              <w:t>thin +</w:t>
            </w:r>
            <w:r w:rsidR="00CD199B">
              <w:rPr>
                <w:rFonts w:ascii="Calibri" w:eastAsia="Times New Roman" w:hAnsi="Calibri" w:cs="Times New Roman"/>
                <w:sz w:val="20"/>
                <w:szCs w:val="20"/>
              </w:rPr>
              <w:t>fuels treatment</w:t>
            </w:r>
          </w:p>
        </w:tc>
        <w:tc>
          <w:tcPr>
            <w:tcW w:w="1180" w:type="dxa"/>
            <w:tcBorders>
              <w:top w:val="nil"/>
              <w:left w:val="nil"/>
              <w:bottom w:val="single" w:sz="8" w:space="0" w:color="auto"/>
              <w:right w:val="single" w:sz="4" w:space="0" w:color="auto"/>
            </w:tcBorders>
            <w:shd w:val="clear" w:color="auto" w:fill="auto"/>
            <w:noWrap/>
            <w:vAlign w:val="bottom"/>
            <w:hideMark/>
          </w:tcPr>
          <w:p w14:paraId="1EADA9DD" w14:textId="77777777" w:rsidR="00CD199B" w:rsidRPr="00CD199B" w:rsidRDefault="00CD199B" w:rsidP="00CD199B">
            <w:pPr>
              <w:jc w:val="right"/>
              <w:rPr>
                <w:rFonts w:ascii="Calibri" w:eastAsia="Times New Roman" w:hAnsi="Calibri" w:cs="Times New Roman"/>
                <w:sz w:val="20"/>
                <w:szCs w:val="20"/>
              </w:rPr>
            </w:pPr>
            <w:r w:rsidRPr="00CD199B">
              <w:rPr>
                <w:rFonts w:ascii="Calibri" w:eastAsia="Times New Roman" w:hAnsi="Calibri" w:cs="Times New Roman"/>
                <w:sz w:val="20"/>
                <w:szCs w:val="20"/>
              </w:rPr>
              <w:t>13</w:t>
            </w:r>
          </w:p>
        </w:tc>
        <w:tc>
          <w:tcPr>
            <w:tcW w:w="1060" w:type="dxa"/>
            <w:tcBorders>
              <w:top w:val="nil"/>
              <w:left w:val="nil"/>
              <w:bottom w:val="single" w:sz="8" w:space="0" w:color="auto"/>
              <w:right w:val="single" w:sz="4" w:space="0" w:color="auto"/>
            </w:tcBorders>
            <w:shd w:val="clear" w:color="auto" w:fill="auto"/>
            <w:noWrap/>
            <w:vAlign w:val="bottom"/>
            <w:hideMark/>
          </w:tcPr>
          <w:p w14:paraId="075A4021" w14:textId="77777777" w:rsidR="00CD199B" w:rsidRPr="00CD199B" w:rsidRDefault="00CD199B" w:rsidP="00CD199B">
            <w:pPr>
              <w:jc w:val="right"/>
              <w:rPr>
                <w:rFonts w:ascii="Calibri" w:eastAsia="Times New Roman" w:hAnsi="Calibri" w:cs="Times New Roman"/>
                <w:sz w:val="20"/>
                <w:szCs w:val="20"/>
              </w:rPr>
            </w:pPr>
            <w:r w:rsidRPr="00CD199B">
              <w:rPr>
                <w:rFonts w:ascii="Calibri" w:eastAsia="Times New Roman" w:hAnsi="Calibri" w:cs="Times New Roman"/>
                <w:sz w:val="20"/>
                <w:szCs w:val="20"/>
              </w:rPr>
              <w:t>18</w:t>
            </w:r>
          </w:p>
        </w:tc>
        <w:tc>
          <w:tcPr>
            <w:tcW w:w="1080" w:type="dxa"/>
            <w:tcBorders>
              <w:top w:val="nil"/>
              <w:left w:val="nil"/>
              <w:bottom w:val="single" w:sz="8" w:space="0" w:color="auto"/>
              <w:right w:val="single" w:sz="4" w:space="0" w:color="auto"/>
            </w:tcBorders>
            <w:shd w:val="clear" w:color="auto" w:fill="auto"/>
            <w:noWrap/>
            <w:vAlign w:val="bottom"/>
            <w:hideMark/>
          </w:tcPr>
          <w:p w14:paraId="2C5AF859" w14:textId="77777777" w:rsidR="00CD199B" w:rsidRPr="00CD199B" w:rsidRDefault="00CD199B" w:rsidP="00CD199B">
            <w:pPr>
              <w:jc w:val="right"/>
              <w:rPr>
                <w:rFonts w:ascii="Calibri" w:eastAsia="Times New Roman" w:hAnsi="Calibri" w:cs="Times New Roman"/>
                <w:sz w:val="20"/>
                <w:szCs w:val="20"/>
              </w:rPr>
            </w:pPr>
            <w:r w:rsidRPr="00CD199B">
              <w:rPr>
                <w:rFonts w:ascii="Calibri" w:eastAsia="Times New Roman" w:hAnsi="Calibri" w:cs="Times New Roman"/>
                <w:sz w:val="20"/>
                <w:szCs w:val="20"/>
              </w:rPr>
              <w:t>9%</w:t>
            </w:r>
          </w:p>
        </w:tc>
        <w:tc>
          <w:tcPr>
            <w:tcW w:w="2760" w:type="dxa"/>
            <w:tcBorders>
              <w:top w:val="nil"/>
              <w:left w:val="nil"/>
              <w:bottom w:val="single" w:sz="8" w:space="0" w:color="auto"/>
              <w:right w:val="single" w:sz="8" w:space="0" w:color="auto"/>
            </w:tcBorders>
            <w:shd w:val="clear" w:color="auto" w:fill="auto"/>
            <w:noWrap/>
            <w:vAlign w:val="bottom"/>
            <w:hideMark/>
          </w:tcPr>
          <w:p w14:paraId="38F63750" w14:textId="77777777" w:rsidR="00CD199B" w:rsidRPr="00CD199B" w:rsidRDefault="00CD199B" w:rsidP="00CD199B">
            <w:pPr>
              <w:jc w:val="right"/>
              <w:rPr>
                <w:rFonts w:ascii="Calibri" w:eastAsia="Times New Roman" w:hAnsi="Calibri" w:cs="Times New Roman"/>
                <w:sz w:val="20"/>
                <w:szCs w:val="20"/>
              </w:rPr>
            </w:pPr>
            <w:r w:rsidRPr="00CD199B">
              <w:rPr>
                <w:rFonts w:ascii="Calibri" w:eastAsia="Times New Roman" w:hAnsi="Calibri" w:cs="Times New Roman"/>
                <w:sz w:val="20"/>
                <w:szCs w:val="20"/>
              </w:rPr>
              <w:t>12%</w:t>
            </w:r>
          </w:p>
        </w:tc>
      </w:tr>
    </w:tbl>
    <w:p w14:paraId="114C4E4D" w14:textId="77777777" w:rsidR="00CD199B" w:rsidRDefault="00CD199B"/>
    <w:p w14:paraId="1DDF22F9" w14:textId="1486C3D4" w:rsidR="00CD199B" w:rsidRPr="00A20625" w:rsidRDefault="00A01B03">
      <w:pPr>
        <w:rPr>
          <w:b/>
        </w:rPr>
      </w:pPr>
      <w:r w:rsidRPr="00A20625">
        <w:rPr>
          <w:b/>
        </w:rPr>
        <w:t>Estimating future wildfire return intervals significantly impacts the estimated change in forest carbon sequestration</w:t>
      </w:r>
    </w:p>
    <w:p w14:paraId="2C0FECFB" w14:textId="50531251" w:rsidR="00913F78" w:rsidRDefault="00A01B03">
      <w:r>
        <w:t xml:space="preserve">The </w:t>
      </w:r>
      <w:r w:rsidR="00A26A86">
        <w:t xml:space="preserve">following figure shows the impact of assumptions on future wildfire return intervals on estimated changes in carbon sequestration. Under historic fire return rotations, well over 100 years, climate benefits were only realized when most of the harvested products were used for bioenergy or wood products. As the fire return interval was reduced, the </w:t>
      </w:r>
      <w:proofErr w:type="gramStart"/>
      <w:r w:rsidR="00A26A86">
        <w:t>net  benefits</w:t>
      </w:r>
      <w:proofErr w:type="gramEnd"/>
      <w:r w:rsidR="00A26A86">
        <w:t xml:space="preserve"> increased even if few products were harvested and utilized. Since treated stands had less carbon that could burn up and were assumed to have lower mortality if they did burn, the relative advantage of fuels treatment increased significantly when shorter fire return intervals were assumed. </w:t>
      </w:r>
    </w:p>
    <w:p w14:paraId="6733C593" w14:textId="3D4807F7" w:rsidR="00913F78" w:rsidRDefault="00582181">
      <w:r>
        <w:rPr>
          <w:noProof/>
        </w:rPr>
        <w:drawing>
          <wp:inline distT="0" distB="0" distL="0" distR="0" wp14:anchorId="02B20E4D" wp14:editId="0591CD71">
            <wp:extent cx="4370941" cy="3030794"/>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8"/>
                    <a:stretch>
                      <a:fillRect/>
                    </a:stretch>
                  </pic:blipFill>
                  <pic:spPr>
                    <a:xfrm>
                      <a:off x="0" y="0"/>
                      <a:ext cx="4371947" cy="3031492"/>
                    </a:xfrm>
                    <a:prstGeom prst="rect">
                      <a:avLst/>
                    </a:prstGeom>
                  </pic:spPr>
                </pic:pic>
              </a:graphicData>
            </a:graphic>
          </wp:inline>
        </w:drawing>
      </w:r>
      <w:r w:rsidDel="00582181">
        <w:rPr>
          <w:noProof/>
        </w:rPr>
        <w:t xml:space="preserve"> </w:t>
      </w:r>
    </w:p>
    <w:p w14:paraId="7A032F20" w14:textId="27BBD1E0" w:rsidR="00913F78" w:rsidRDefault="00913F78">
      <w:r>
        <w:t xml:space="preserve">Figure 5: </w:t>
      </w:r>
      <w:r w:rsidR="004D36B9">
        <w:t xml:space="preserve">change in carbon inventory as percent of initial inventory for commercial </w:t>
      </w:r>
      <w:proofErr w:type="spellStart"/>
      <w:r w:rsidR="004D36B9">
        <w:t>thin+fuels</w:t>
      </w:r>
      <w:proofErr w:type="spellEnd"/>
      <w:r w:rsidR="004D36B9">
        <w:t xml:space="preserve"> </w:t>
      </w:r>
      <w:proofErr w:type="spellStart"/>
      <w:r w:rsidR="004D36B9">
        <w:t>tmts</w:t>
      </w:r>
      <w:proofErr w:type="spellEnd"/>
      <w:r w:rsidR="004D36B9">
        <w:t xml:space="preserve"> (upper line) or even mixt of fuels treatments (burn, leave, remove)</w:t>
      </w:r>
      <w:r>
        <w:t xml:space="preserve"> </w:t>
      </w:r>
      <w:r w:rsidR="004D36B9">
        <w:t xml:space="preserve">as a function of predicted future fire return interval </w:t>
      </w:r>
    </w:p>
    <w:p w14:paraId="75B72605" w14:textId="5557CABC" w:rsidR="004C5010" w:rsidRDefault="00A26A86">
      <w:bookmarkStart w:id="0" w:name="_GoBack"/>
      <w:bookmarkEnd w:id="0"/>
      <w:r>
        <w:lastRenderedPageBreak/>
        <w:t xml:space="preserve">This </w:t>
      </w:r>
      <w:r w:rsidR="00DD426A">
        <w:t xml:space="preserve">scenario tool provides a broad set of estimates of changes in carbon sequestration from different fuels treatments based on a </w:t>
      </w:r>
      <w:proofErr w:type="gramStart"/>
      <w:r w:rsidR="00DD426A">
        <w:t>well defined</w:t>
      </w:r>
      <w:proofErr w:type="gramEnd"/>
      <w:r w:rsidR="00DD426A">
        <w:t xml:space="preserve"> set of assumed changes that the treatments make on fire severity. </w:t>
      </w:r>
      <w:r w:rsidR="004C5010">
        <w:t>Under the base set of assumptions, significant net carbon/climate benefits require removing much of the biomass treated in the fuels treatment. Pile burning or simply scattering the fuels appears to have limited climate/carbon benefits even if the treatments will have other benefits in terms of reduced suppression costs and losses of private timber assets. Prescribed burns will restore many of the ecological functions of these forests with no or limited ecological impacts but are not projected to provide carbon/climate benefits over the project period</w:t>
      </w:r>
      <w:r w:rsidR="00451641">
        <w:rPr>
          <w:rStyle w:val="FootnoteReference"/>
        </w:rPr>
        <w:footnoteReference w:id="7"/>
      </w:r>
      <w:r w:rsidR="004C5010">
        <w:t xml:space="preserve">. The full utilization scenario </w:t>
      </w:r>
      <w:r w:rsidR="00C33968">
        <w:t xml:space="preserve">is based on the </w:t>
      </w:r>
      <w:r w:rsidR="004C5010">
        <w:t xml:space="preserve">projects used </w:t>
      </w:r>
      <w:r w:rsidR="00C33968">
        <w:t xml:space="preserve">by </w:t>
      </w:r>
      <w:r w:rsidR="004C5010">
        <w:t xml:space="preserve">Stewart and Nakamura (2012) </w:t>
      </w:r>
      <w:r w:rsidR="00C33968">
        <w:t>in their</w:t>
      </w:r>
      <w:r w:rsidR="004C5010">
        <w:t xml:space="preserve"> 17,000 acres of treatments</w:t>
      </w:r>
      <w:r w:rsidR="00C33968">
        <w:t xml:space="preserve"> on private lands</w:t>
      </w:r>
      <w:r w:rsidR="004C5010">
        <w:t xml:space="preserve"> in a region with many sawmills and energy plants that bought the products</w:t>
      </w:r>
      <w:r w:rsidR="004D0872">
        <w:rPr>
          <w:rStyle w:val="FootnoteReference"/>
        </w:rPr>
        <w:footnoteReference w:id="8"/>
      </w:r>
      <w:r w:rsidR="004C5010">
        <w:t xml:space="preserve">. Across the whole Sierra Nevada, a more realistic estimate of the overall effect of treatments currently applied could be an even mix of all project types. The following table summarizes those results in terms of climate/carbon benefits as a percentage of the average at risk forest carbon pools. </w:t>
      </w:r>
    </w:p>
    <w:p w14:paraId="2EB47289" w14:textId="77777777" w:rsidR="00151ED0" w:rsidRDefault="00151ED0"/>
    <w:p w14:paraId="3E8856B2" w14:textId="240978FF" w:rsidR="004C5010" w:rsidRDefault="000676DE">
      <w:r>
        <w:t xml:space="preserve">The pessimistic assumption that fuels treatments have zero effect on future wildfire severity illustrates the </w:t>
      </w:r>
      <w:r w:rsidR="00A26A86">
        <w:t>need for</w:t>
      </w:r>
      <w:r>
        <w:t xml:space="preserve"> better documentation on fire severity in treated and untreated stands. If no change in fire severity is achieved, the only treatment with a positive </w:t>
      </w:r>
      <w:r w:rsidR="004D0872">
        <w:t xml:space="preserve">carbon/climate outcome is the one where harvest products are effectively used. </w:t>
      </w:r>
    </w:p>
    <w:p w14:paraId="22883EDC" w14:textId="77777777" w:rsidR="00DD426A" w:rsidRDefault="00DD426A"/>
    <w:p w14:paraId="194AC8A3" w14:textId="45CB4891" w:rsidR="00B74E4C" w:rsidRPr="00466FCC" w:rsidRDefault="00B74E4C">
      <w:pPr>
        <w:rPr>
          <w:b/>
        </w:rPr>
      </w:pPr>
      <w:r w:rsidRPr="00466FCC">
        <w:rPr>
          <w:b/>
        </w:rPr>
        <w:t>Conclusion</w:t>
      </w:r>
    </w:p>
    <w:p w14:paraId="64FFD640" w14:textId="77777777" w:rsidR="00B74E4C" w:rsidRDefault="00B74E4C"/>
    <w:p w14:paraId="21C350F1" w14:textId="6F592AA2" w:rsidR="00D576BA" w:rsidRDefault="006E3274">
      <w:r>
        <w:t>Wildfire area and severity are increasing in California. While we can not predict what will happen over the next 40 years, we can use robust current information to make informed predictions to guide forest management actions.</w:t>
      </w:r>
      <w:r w:rsidR="00D576BA">
        <w:t xml:space="preserve"> Th</w:t>
      </w:r>
      <w:r w:rsidR="00CE209B">
        <w:t>is</w:t>
      </w:r>
      <w:r w:rsidR="00D576BA">
        <w:t xml:space="preserve"> analysis illustrated </w:t>
      </w:r>
      <w:r w:rsidR="00CE209B">
        <w:t xml:space="preserve">how the </w:t>
      </w:r>
      <w:r w:rsidR="0070580A">
        <w:t xml:space="preserve">key </w:t>
      </w:r>
      <w:r w:rsidR="00CE209B">
        <w:t xml:space="preserve">assumptions </w:t>
      </w:r>
      <w:r w:rsidR="0070580A">
        <w:t xml:space="preserve">affect </w:t>
      </w:r>
      <w:r w:rsidR="00CE209B">
        <w:t>the final outcome</w:t>
      </w:r>
      <w:r w:rsidR="0070580A">
        <w:t xml:space="preserve">. </w:t>
      </w:r>
      <w:r w:rsidR="00CE209B">
        <w:t xml:space="preserve"> </w:t>
      </w:r>
      <w:r w:rsidR="00AB7ECF">
        <w:t>Much of the benefits come from the reduced emissions from less severe burning of the dead wood, forest floor and soil carbon</w:t>
      </w:r>
      <w:r w:rsidR="00CD7763">
        <w:t xml:space="preserve"> that are often missed in analyses that only track carbon as measured in board feet in live trees</w:t>
      </w:r>
      <w:r w:rsidR="00AB7ECF">
        <w:t>. The utilization of harvest volume for bioenergy and products can significantly add to the net climate benefits while also providing significant ecological and social co-benefits.</w:t>
      </w:r>
      <w:r w:rsidR="00CD7763">
        <w:t xml:space="preserve"> </w:t>
      </w:r>
      <w:r w:rsidR="0070580A" w:rsidRPr="004D0872">
        <w:rPr>
          <w:b/>
        </w:rPr>
        <w:t>While there is a high probability that most forests in California will be affected by a wildfire over the next century, simply trading future avoided emissions for planned current emissions will not have a positive climate benefit during the project period unless the harvested products are used and/or the treatments reduce the severity of future wildfires.</w:t>
      </w:r>
      <w:r w:rsidR="0070580A">
        <w:t xml:space="preserve"> Utilization of harvested products from fuels treatments have been </w:t>
      </w:r>
      <w:r w:rsidR="00AB7ECF">
        <w:t>successfully integrated into</w:t>
      </w:r>
      <w:r w:rsidR="0070580A">
        <w:t xml:space="preserve"> fuels re</w:t>
      </w:r>
      <w:r w:rsidR="00AB7ECF">
        <w:t>duction projects in many sites in California</w:t>
      </w:r>
      <w:r w:rsidR="00AB7ECF">
        <w:rPr>
          <w:rStyle w:val="FootnoteReference"/>
        </w:rPr>
        <w:footnoteReference w:id="9"/>
      </w:r>
      <w:r w:rsidR="00AB7ECF">
        <w:t xml:space="preserve">. </w:t>
      </w:r>
      <w:r w:rsidR="00AB7ECF">
        <w:lastRenderedPageBreak/>
        <w:t xml:space="preserve">Examples of improved suppression effectiveness in areas with fuels treatment projects has been commonly cited for California but is not </w:t>
      </w:r>
      <w:r w:rsidR="00CD7763">
        <w:t xml:space="preserve">that </w:t>
      </w:r>
      <w:r w:rsidR="00AB7ECF">
        <w:t xml:space="preserve">well documented.  </w:t>
      </w:r>
    </w:p>
    <w:p w14:paraId="4F755C2E" w14:textId="77777777" w:rsidR="0033348B" w:rsidRDefault="0033348B"/>
    <w:p w14:paraId="341D115F" w14:textId="2A44A9AB" w:rsidR="009D16F9" w:rsidRDefault="00DE4B4A">
      <w:r>
        <w:t>The existence of a growing but complex</w:t>
      </w:r>
      <w:r w:rsidR="00AB7ECF">
        <w:t xml:space="preserve"> and often contradictory</w:t>
      </w:r>
      <w:r>
        <w:t xml:space="preserve"> literature on the </w:t>
      </w:r>
      <w:r w:rsidR="00AB7ECF">
        <w:t xml:space="preserve">climate benefit </w:t>
      </w:r>
      <w:r>
        <w:t>impacts of fuels treatments in different ecosystems of California has not led to a shared understanding among state and federal agencies that regulate and finance (fully or with grants or cost share programs) fuels treatment, fire suppression, and habitat improvement programs.</w:t>
      </w:r>
      <w:r w:rsidR="004D0872">
        <w:t xml:space="preserve"> </w:t>
      </w:r>
      <w:r>
        <w:t xml:space="preserve"> </w:t>
      </w:r>
      <w:r w:rsidR="004D0872">
        <w:t xml:space="preserve">The tool described here can improve the analysis of whether certain projects would or would not be effective climate change mitigation actions. Many different actors (e.g. forest managers, harvested log and energy chip purchasers, fire suppression agencies, state and federal agencies with cost share programs, environmental regulators) could benefit from using common analytical tools. </w:t>
      </w:r>
      <w:r>
        <w:t>L</w:t>
      </w:r>
      <w:r w:rsidR="0033348B">
        <w:t>ogical next step</w:t>
      </w:r>
      <w:r w:rsidR="00E37DCC">
        <w:t>s</w:t>
      </w:r>
      <w:r w:rsidR="0033348B">
        <w:t xml:space="preserve"> would be to</w:t>
      </w:r>
      <w:r w:rsidR="00E37DCC">
        <w:t xml:space="preserve"> 1) improve the documentation of different coefficients based on </w:t>
      </w:r>
      <w:r w:rsidR="004D0872">
        <w:t xml:space="preserve">literature and field sites in California </w:t>
      </w:r>
      <w:r w:rsidR="00E37DCC">
        <w:t>and 2)</w:t>
      </w:r>
      <w:r w:rsidR="0033348B">
        <w:t xml:space="preserve"> conduct a systematic monitoring and measuring program on a range of treatments to improve the accuracy of the estimates of the carbon/climate benefits</w:t>
      </w:r>
      <w:r w:rsidR="00CD7763">
        <w:t xml:space="preserve"> for a wide range of fuels treatment projects</w:t>
      </w:r>
      <w:r w:rsidR="0033348B">
        <w:t xml:space="preserve">. </w:t>
      </w:r>
      <w:r w:rsidR="00E37DCC">
        <w:t xml:space="preserve">The use of a shared scenario tool where users can see the potential impacts of different assumptions that may not have been implemented and documented in the field could help create a more broadly shared strategy for a path forward. </w:t>
      </w:r>
      <w:r w:rsidR="0033348B">
        <w:t xml:space="preserve"> </w:t>
      </w:r>
    </w:p>
    <w:p w14:paraId="22ABAB0F" w14:textId="2EEE3E6C" w:rsidR="00B74E4C" w:rsidRDefault="00B74E4C"/>
    <w:sectPr w:rsidR="00B74E4C" w:rsidSect="00A20625">
      <w:type w:val="continuous"/>
      <w:pgSz w:w="12240" w:h="15840"/>
      <w:pgMar w:top="1440" w:right="1800" w:bottom="90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5CD879" w14:textId="77777777" w:rsidR="00565799" w:rsidRDefault="00565799" w:rsidP="00FB13F2">
      <w:r>
        <w:separator/>
      </w:r>
    </w:p>
  </w:endnote>
  <w:endnote w:type="continuationSeparator" w:id="0">
    <w:p w14:paraId="59E8D2C8" w14:textId="77777777" w:rsidR="00565799" w:rsidRDefault="00565799" w:rsidP="00FB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B570B" w14:textId="77777777" w:rsidR="007C03C7" w:rsidRDefault="007C03C7" w:rsidP="00FB13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E7069A" w14:textId="77777777" w:rsidR="007C03C7" w:rsidRDefault="007C03C7" w:rsidP="00FB13F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EEE6B" w14:textId="77777777" w:rsidR="007C03C7" w:rsidRDefault="007C03C7" w:rsidP="00FB13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3451">
      <w:rPr>
        <w:rStyle w:val="PageNumber"/>
        <w:noProof/>
      </w:rPr>
      <w:t>13</w:t>
    </w:r>
    <w:r>
      <w:rPr>
        <w:rStyle w:val="PageNumber"/>
      </w:rPr>
      <w:fldChar w:fldCharType="end"/>
    </w:r>
  </w:p>
  <w:p w14:paraId="1B8D5B0A" w14:textId="77777777" w:rsidR="007C03C7" w:rsidRDefault="007C03C7" w:rsidP="00FB13F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505E6" w14:textId="77777777" w:rsidR="00565799" w:rsidRDefault="00565799" w:rsidP="00FB13F2">
      <w:r>
        <w:separator/>
      </w:r>
    </w:p>
  </w:footnote>
  <w:footnote w:type="continuationSeparator" w:id="0">
    <w:p w14:paraId="0B4FB2E5" w14:textId="77777777" w:rsidR="00565799" w:rsidRDefault="00565799" w:rsidP="00FB13F2">
      <w:r>
        <w:continuationSeparator/>
      </w:r>
    </w:p>
  </w:footnote>
  <w:footnote w:id="1">
    <w:p w14:paraId="3D30E8CB" w14:textId="1C6E26CF" w:rsidR="007C03C7" w:rsidRPr="00F13A3D" w:rsidRDefault="007C03C7">
      <w:pPr>
        <w:pStyle w:val="FootnoteText"/>
        <w:rPr>
          <w:sz w:val="20"/>
          <w:szCs w:val="20"/>
        </w:rPr>
      </w:pPr>
      <w:r w:rsidRPr="00F13A3D">
        <w:rPr>
          <w:rStyle w:val="FootnoteReference"/>
          <w:sz w:val="20"/>
          <w:szCs w:val="20"/>
        </w:rPr>
        <w:footnoteRef/>
      </w:r>
      <w:r w:rsidRPr="00F13A3D">
        <w:rPr>
          <w:sz w:val="20"/>
          <w:szCs w:val="20"/>
        </w:rPr>
        <w:t xml:space="preserve"> http://ucanr.edu/sites/forestry/Carbon_Sequestration_Tool_for_THPs/</w:t>
      </w:r>
    </w:p>
  </w:footnote>
  <w:footnote w:id="2">
    <w:p w14:paraId="76EE7C6C" w14:textId="7EFC4EAD" w:rsidR="007C03C7" w:rsidRDefault="007C03C7">
      <w:pPr>
        <w:pStyle w:val="FootnoteText"/>
      </w:pPr>
      <w:r>
        <w:rPr>
          <w:rStyle w:val="FootnoteReference"/>
        </w:rPr>
        <w:footnoteRef/>
      </w:r>
      <w:r>
        <w:t xml:space="preserve"> </w:t>
      </w:r>
      <w:r w:rsidRPr="00753169">
        <w:t>http://www.ncasi2.org/GCOLE3/gcole.shtml</w:t>
      </w:r>
    </w:p>
  </w:footnote>
  <w:footnote w:id="3">
    <w:p w14:paraId="5A64FD78" w14:textId="291DC181" w:rsidR="007C03C7" w:rsidRPr="00741488" w:rsidRDefault="007C03C7">
      <w:pPr>
        <w:pStyle w:val="FootnoteText"/>
        <w:rPr>
          <w:sz w:val="20"/>
          <w:szCs w:val="20"/>
        </w:rPr>
      </w:pPr>
      <w:r w:rsidRPr="00741488">
        <w:rPr>
          <w:rStyle w:val="FootnoteReference"/>
          <w:sz w:val="20"/>
          <w:szCs w:val="20"/>
        </w:rPr>
        <w:footnoteRef/>
      </w:r>
      <w:r w:rsidRPr="00741488">
        <w:rPr>
          <w:sz w:val="20"/>
          <w:szCs w:val="20"/>
        </w:rPr>
        <w:t xml:space="preserve"> FRAP Assessment (2003) , p 94)</w:t>
      </w:r>
    </w:p>
  </w:footnote>
  <w:footnote w:id="4">
    <w:p w14:paraId="1ECDD1EE" w14:textId="31348BB7" w:rsidR="007C03C7" w:rsidRDefault="007C03C7">
      <w:pPr>
        <w:pStyle w:val="FootnoteText"/>
      </w:pPr>
      <w:r w:rsidRPr="00741488">
        <w:rPr>
          <w:rStyle w:val="FootnoteReference"/>
          <w:sz w:val="20"/>
          <w:szCs w:val="20"/>
        </w:rPr>
        <w:footnoteRef/>
      </w:r>
      <w:r w:rsidRPr="00741488">
        <w:rPr>
          <w:sz w:val="20"/>
          <w:szCs w:val="20"/>
        </w:rPr>
        <w:t xml:space="preserve"> </w:t>
      </w:r>
      <w:proofErr w:type="gramStart"/>
      <w:r w:rsidRPr="00741488">
        <w:rPr>
          <w:sz w:val="20"/>
          <w:szCs w:val="20"/>
        </w:rPr>
        <w:t>Christensen et al. (2008).</w:t>
      </w:r>
      <w:proofErr w:type="gramEnd"/>
      <w:r w:rsidRPr="00741488">
        <w:rPr>
          <w:sz w:val="20"/>
          <w:szCs w:val="20"/>
        </w:rPr>
        <w:t xml:space="preserve"> P 70</w:t>
      </w:r>
    </w:p>
  </w:footnote>
  <w:footnote w:id="5">
    <w:p w14:paraId="756B0E54" w14:textId="4F73B526" w:rsidR="007C03C7" w:rsidRDefault="007C03C7">
      <w:pPr>
        <w:pStyle w:val="FootnoteText"/>
      </w:pPr>
      <w:r>
        <w:rPr>
          <w:rStyle w:val="FootnoteReference"/>
        </w:rPr>
        <w:footnoteRef/>
      </w:r>
      <w:r>
        <w:t xml:space="preserve">  </w:t>
      </w:r>
      <w:r w:rsidRPr="00ED1D77">
        <w:rPr>
          <w:rFonts w:cs="Helvetica"/>
          <w:sz w:val="20"/>
          <w:szCs w:val="20"/>
        </w:rPr>
        <w:t xml:space="preserve">Miller, J.D., H. D. Safford, M. </w:t>
      </w:r>
      <w:proofErr w:type="spellStart"/>
      <w:r w:rsidRPr="00ED1D77">
        <w:rPr>
          <w:rFonts w:cs="Helvetica"/>
          <w:sz w:val="20"/>
          <w:szCs w:val="20"/>
        </w:rPr>
        <w:t>Crimmins</w:t>
      </w:r>
      <w:proofErr w:type="spellEnd"/>
      <w:r w:rsidRPr="00ED1D77">
        <w:rPr>
          <w:rFonts w:cs="Helvetica"/>
          <w:sz w:val="20"/>
          <w:szCs w:val="20"/>
        </w:rPr>
        <w:t xml:space="preserve">, A. E. Thode. 2009 Quantitative Evidence for Increasing Forest Fire Severity in the Sierra Nevada and Southern Cascade Mountains, California and Nevada, USA. </w:t>
      </w:r>
      <w:r w:rsidRPr="00ED1D77">
        <w:rPr>
          <w:rFonts w:cs="Helvetica"/>
          <w:i/>
          <w:iCs/>
          <w:sz w:val="20"/>
          <w:szCs w:val="20"/>
        </w:rPr>
        <w:t>Ecosystems</w:t>
      </w:r>
      <w:r w:rsidRPr="00ED1D77">
        <w:rPr>
          <w:rFonts w:cs="Helvetica"/>
          <w:sz w:val="20"/>
          <w:szCs w:val="20"/>
        </w:rPr>
        <w:t xml:space="preserve">, </w:t>
      </w:r>
      <w:r w:rsidRPr="00ED1D77">
        <w:rPr>
          <w:rFonts w:cs="Helvetica"/>
          <w:b/>
          <w:bCs/>
          <w:sz w:val="20"/>
          <w:szCs w:val="20"/>
        </w:rPr>
        <w:t>12</w:t>
      </w:r>
      <w:r w:rsidRPr="00ED1D77">
        <w:rPr>
          <w:rFonts w:cs="Helvetica"/>
          <w:sz w:val="20"/>
          <w:szCs w:val="20"/>
        </w:rPr>
        <w:t>, 16-32.</w:t>
      </w:r>
      <w:r>
        <w:rPr>
          <w:rFonts w:cs="Helvetica"/>
          <w:sz w:val="20"/>
          <w:szCs w:val="20"/>
        </w:rPr>
        <w:t xml:space="preserve"> </w:t>
      </w:r>
      <w:r w:rsidRPr="00196811">
        <w:rPr>
          <w:rFonts w:cs="Helvetica"/>
          <w:sz w:val="20"/>
          <w:szCs w:val="20"/>
        </w:rPr>
        <w:t xml:space="preserve">Miller, J.D., Skinner, C.N., Safford, H.D., Knapp, E.E. and Ramirez, C.M. 2012 Trends and causes of severity, size, and number of fires in northwestern California, USA. </w:t>
      </w:r>
      <w:r w:rsidRPr="00196811">
        <w:rPr>
          <w:rFonts w:cs="Helvetica"/>
          <w:i/>
          <w:iCs/>
          <w:sz w:val="20"/>
          <w:szCs w:val="20"/>
        </w:rPr>
        <w:t>Ecological Applications</w:t>
      </w:r>
      <w:r w:rsidRPr="00196811">
        <w:rPr>
          <w:rFonts w:cs="Helvetica"/>
          <w:sz w:val="20"/>
          <w:szCs w:val="20"/>
        </w:rPr>
        <w:t xml:space="preserve">, </w:t>
      </w:r>
      <w:r w:rsidRPr="00196811">
        <w:rPr>
          <w:rFonts w:cs="Helvetica"/>
          <w:b/>
          <w:bCs/>
          <w:sz w:val="20"/>
          <w:szCs w:val="20"/>
        </w:rPr>
        <w:t>22</w:t>
      </w:r>
      <w:r w:rsidRPr="00196811">
        <w:rPr>
          <w:rFonts w:cs="Helvetica"/>
          <w:sz w:val="20"/>
          <w:szCs w:val="20"/>
        </w:rPr>
        <w:t>, 184-203</w:t>
      </w:r>
      <w:r>
        <w:rPr>
          <w:rFonts w:ascii="Helvetica" w:hAnsi="Helvetica" w:cs="Helvetica"/>
        </w:rPr>
        <w:t>.</w:t>
      </w:r>
      <w:r w:rsidRPr="00ED1D77">
        <w:rPr>
          <w:rFonts w:cs="Helvetica"/>
          <w:sz w:val="20"/>
          <w:szCs w:val="20"/>
        </w:rPr>
        <w:t xml:space="preserve">Stephens, S.L., Collins, B.M. and Roller, G. 2012 Fuel treatment longevity in a Sierra Nevada mixed conifer forest. </w:t>
      </w:r>
      <w:r w:rsidRPr="00ED1D77">
        <w:rPr>
          <w:rFonts w:cs="Helvetica"/>
          <w:i/>
          <w:iCs/>
          <w:sz w:val="20"/>
          <w:szCs w:val="20"/>
        </w:rPr>
        <w:t>Forest Ecology and Management</w:t>
      </w:r>
      <w:r w:rsidRPr="00ED1D77">
        <w:rPr>
          <w:rFonts w:cs="Helvetica"/>
          <w:sz w:val="20"/>
          <w:szCs w:val="20"/>
        </w:rPr>
        <w:t xml:space="preserve">, </w:t>
      </w:r>
      <w:r w:rsidRPr="00ED1D77">
        <w:rPr>
          <w:rFonts w:cs="Helvetica"/>
          <w:b/>
          <w:bCs/>
          <w:sz w:val="20"/>
          <w:szCs w:val="20"/>
        </w:rPr>
        <w:t>285</w:t>
      </w:r>
      <w:r w:rsidRPr="00ED1D77">
        <w:rPr>
          <w:rFonts w:cs="Helvetica"/>
          <w:sz w:val="20"/>
          <w:szCs w:val="20"/>
        </w:rPr>
        <w:t>, 204-212.</w:t>
      </w:r>
    </w:p>
  </w:footnote>
  <w:footnote w:id="6">
    <w:p w14:paraId="2A4B1DB9" w14:textId="61428350" w:rsidR="007C03C7" w:rsidRPr="007C59F0" w:rsidRDefault="007C03C7">
      <w:pPr>
        <w:pStyle w:val="FootnoteText"/>
        <w:rPr>
          <w:sz w:val="20"/>
          <w:szCs w:val="20"/>
        </w:rPr>
      </w:pPr>
      <w:r>
        <w:rPr>
          <w:rStyle w:val="FootnoteReference"/>
        </w:rPr>
        <w:footnoteRef/>
      </w:r>
      <w:r>
        <w:t xml:space="preserve"> </w:t>
      </w:r>
      <w:r w:rsidRPr="007C59F0">
        <w:rPr>
          <w:rFonts w:cs="Helvetica"/>
          <w:sz w:val="20"/>
          <w:szCs w:val="20"/>
        </w:rPr>
        <w:t xml:space="preserve">Campbell, J.L., Harmon, M.E. and Mitchell, S.R. 2011 Can fuel-reduction treatments really increase forest carbon storage in the western US by reducing future fire emissions? </w:t>
      </w:r>
      <w:r w:rsidRPr="007C59F0">
        <w:rPr>
          <w:rFonts w:cs="Helvetica"/>
          <w:i/>
          <w:iCs/>
          <w:sz w:val="20"/>
          <w:szCs w:val="20"/>
        </w:rPr>
        <w:t>Frontiers in Ecology and Environment</w:t>
      </w:r>
      <w:r w:rsidRPr="007C59F0">
        <w:rPr>
          <w:rFonts w:cs="Helvetica"/>
          <w:sz w:val="20"/>
          <w:szCs w:val="20"/>
        </w:rPr>
        <w:t xml:space="preserve">, </w:t>
      </w:r>
      <w:r w:rsidRPr="007C59F0">
        <w:rPr>
          <w:rFonts w:cs="Helvetica"/>
          <w:b/>
          <w:bCs/>
          <w:sz w:val="20"/>
          <w:szCs w:val="20"/>
        </w:rPr>
        <w:t>10</w:t>
      </w:r>
      <w:r w:rsidRPr="007C59F0">
        <w:rPr>
          <w:rFonts w:cs="Helvetica"/>
          <w:sz w:val="20"/>
          <w:szCs w:val="20"/>
        </w:rPr>
        <w:t>, 83-90.</w:t>
      </w:r>
    </w:p>
  </w:footnote>
  <w:footnote w:id="7">
    <w:p w14:paraId="04712A19" w14:textId="5035A67B" w:rsidR="007C03C7" w:rsidRPr="00E37DCC" w:rsidRDefault="007C03C7">
      <w:pPr>
        <w:pStyle w:val="FootnoteText"/>
        <w:rPr>
          <w:sz w:val="20"/>
          <w:szCs w:val="20"/>
        </w:rPr>
      </w:pPr>
      <w:r w:rsidRPr="00E37DCC">
        <w:rPr>
          <w:rStyle w:val="FootnoteReference"/>
          <w:sz w:val="20"/>
          <w:szCs w:val="20"/>
        </w:rPr>
        <w:footnoteRef/>
      </w:r>
      <w:r w:rsidRPr="00E37DCC">
        <w:rPr>
          <w:sz w:val="20"/>
          <w:szCs w:val="20"/>
        </w:rPr>
        <w:t xml:space="preserve"> </w:t>
      </w:r>
      <w:r w:rsidRPr="00E37DCC">
        <w:rPr>
          <w:rFonts w:cs="Helvetica"/>
          <w:sz w:val="20"/>
          <w:szCs w:val="20"/>
        </w:rPr>
        <w:t xml:space="preserve">Stephens, S.L., McIver, J.D., </w:t>
      </w:r>
      <w:proofErr w:type="spellStart"/>
      <w:r w:rsidRPr="00E37DCC">
        <w:rPr>
          <w:rFonts w:cs="Helvetica"/>
          <w:sz w:val="20"/>
          <w:szCs w:val="20"/>
        </w:rPr>
        <w:t>Boerner</w:t>
      </w:r>
      <w:proofErr w:type="spellEnd"/>
      <w:r w:rsidRPr="00E37DCC">
        <w:rPr>
          <w:rFonts w:cs="Helvetica"/>
          <w:sz w:val="20"/>
          <w:szCs w:val="20"/>
        </w:rPr>
        <w:t xml:space="preserve">, R.E.J., Fettig, C.J., Fontaine, J.B., </w:t>
      </w:r>
      <w:proofErr w:type="spellStart"/>
      <w:r w:rsidRPr="00E37DCC">
        <w:rPr>
          <w:rFonts w:cs="Helvetica"/>
          <w:sz w:val="20"/>
          <w:szCs w:val="20"/>
        </w:rPr>
        <w:t>Hartsough</w:t>
      </w:r>
      <w:proofErr w:type="spellEnd"/>
      <w:r w:rsidRPr="00E37DCC">
        <w:rPr>
          <w:rFonts w:cs="Helvetica"/>
          <w:sz w:val="20"/>
          <w:szCs w:val="20"/>
        </w:rPr>
        <w:t>, B.R.</w:t>
      </w:r>
      <w:r w:rsidRPr="00E37DCC">
        <w:rPr>
          <w:rFonts w:cs="Helvetica"/>
          <w:i/>
          <w:iCs/>
          <w:sz w:val="20"/>
          <w:szCs w:val="20"/>
        </w:rPr>
        <w:t xml:space="preserve"> et al.</w:t>
      </w:r>
      <w:r w:rsidRPr="00E37DCC">
        <w:rPr>
          <w:rFonts w:cs="Helvetica"/>
          <w:sz w:val="20"/>
          <w:szCs w:val="20"/>
        </w:rPr>
        <w:t xml:space="preserve"> 2012 The Effects of Forest Fuel-Reduction Treatments in the United States. </w:t>
      </w:r>
      <w:proofErr w:type="spellStart"/>
      <w:r w:rsidRPr="00E37DCC">
        <w:rPr>
          <w:rFonts w:cs="Helvetica"/>
          <w:i/>
          <w:iCs/>
          <w:sz w:val="20"/>
          <w:szCs w:val="20"/>
        </w:rPr>
        <w:t>BioScience</w:t>
      </w:r>
      <w:proofErr w:type="spellEnd"/>
      <w:r w:rsidRPr="00E37DCC">
        <w:rPr>
          <w:rFonts w:cs="Helvetica"/>
          <w:sz w:val="20"/>
          <w:szCs w:val="20"/>
        </w:rPr>
        <w:t xml:space="preserve">, </w:t>
      </w:r>
      <w:r w:rsidRPr="00E37DCC">
        <w:rPr>
          <w:rFonts w:cs="Helvetica"/>
          <w:b/>
          <w:bCs/>
          <w:sz w:val="20"/>
          <w:szCs w:val="20"/>
        </w:rPr>
        <w:t>62</w:t>
      </w:r>
      <w:r w:rsidRPr="00E37DCC">
        <w:rPr>
          <w:rFonts w:cs="Helvetica"/>
          <w:sz w:val="20"/>
          <w:szCs w:val="20"/>
        </w:rPr>
        <w:t>, 549-560.</w:t>
      </w:r>
    </w:p>
  </w:footnote>
  <w:footnote w:id="8">
    <w:p w14:paraId="436A86AE" w14:textId="04260042" w:rsidR="007C03C7" w:rsidRDefault="007C03C7">
      <w:pPr>
        <w:pStyle w:val="FootnoteText"/>
      </w:pPr>
      <w:r>
        <w:rPr>
          <w:rStyle w:val="FootnoteReference"/>
        </w:rPr>
        <w:footnoteRef/>
      </w:r>
      <w:r>
        <w:t xml:space="preserve"> </w:t>
      </w:r>
      <w:r w:rsidRPr="00A41368">
        <w:rPr>
          <w:rFonts w:cs="Helvetica"/>
          <w:sz w:val="20"/>
          <w:szCs w:val="20"/>
        </w:rPr>
        <w:t xml:space="preserve">Stewart, W.C. and Nakamura, G. 2012 Documenting the full climate benefits of harvested wood products in Northern California: Linking harvests to the U.S. Greenhouse Gas Inventory. </w:t>
      </w:r>
      <w:r w:rsidRPr="00A41368">
        <w:rPr>
          <w:rFonts w:cs="Helvetica"/>
          <w:i/>
          <w:iCs/>
          <w:sz w:val="20"/>
          <w:szCs w:val="20"/>
        </w:rPr>
        <w:t>Forest Products Journal</w:t>
      </w:r>
      <w:r w:rsidRPr="00A41368">
        <w:rPr>
          <w:rFonts w:cs="Helvetica"/>
          <w:sz w:val="20"/>
          <w:szCs w:val="20"/>
        </w:rPr>
        <w:t xml:space="preserve">, </w:t>
      </w:r>
      <w:r w:rsidRPr="00A41368">
        <w:rPr>
          <w:rFonts w:cs="Helvetica"/>
          <w:b/>
          <w:bCs/>
          <w:sz w:val="20"/>
          <w:szCs w:val="20"/>
        </w:rPr>
        <w:t>62</w:t>
      </w:r>
      <w:r w:rsidRPr="00A41368">
        <w:rPr>
          <w:rFonts w:cs="Helvetica"/>
          <w:sz w:val="20"/>
          <w:szCs w:val="20"/>
        </w:rPr>
        <w:t>, 340-353</w:t>
      </w:r>
      <w:r>
        <w:rPr>
          <w:rFonts w:ascii="Helvetica" w:hAnsi="Helvetica" w:cs="Helvetica"/>
        </w:rPr>
        <w:t>.</w:t>
      </w:r>
    </w:p>
  </w:footnote>
  <w:footnote w:id="9">
    <w:p w14:paraId="4BD09BFD" w14:textId="27C9B08C" w:rsidR="007C03C7" w:rsidRDefault="007C03C7">
      <w:pPr>
        <w:pStyle w:val="FootnoteText"/>
      </w:pPr>
      <w:r>
        <w:rPr>
          <w:rStyle w:val="FootnoteReference"/>
        </w:rPr>
        <w:footnoteRef/>
      </w:r>
      <w:r>
        <w:t xml:space="preserve"> </w:t>
      </w:r>
      <w:proofErr w:type="spellStart"/>
      <w:r w:rsidRPr="00AB7ECF">
        <w:rPr>
          <w:rFonts w:cs="Helvetica"/>
          <w:sz w:val="20"/>
          <w:szCs w:val="20"/>
        </w:rPr>
        <w:t>Hartsough</w:t>
      </w:r>
      <w:proofErr w:type="spellEnd"/>
      <w:r w:rsidRPr="00AB7ECF">
        <w:rPr>
          <w:rFonts w:cs="Helvetica"/>
          <w:sz w:val="20"/>
          <w:szCs w:val="20"/>
        </w:rPr>
        <w:t xml:space="preserve">, B.R., Abrams, S., Barbour, R.J., </w:t>
      </w:r>
      <w:proofErr w:type="spellStart"/>
      <w:r w:rsidRPr="00AB7ECF">
        <w:rPr>
          <w:rFonts w:cs="Helvetica"/>
          <w:sz w:val="20"/>
          <w:szCs w:val="20"/>
        </w:rPr>
        <w:t>Drews</w:t>
      </w:r>
      <w:proofErr w:type="spellEnd"/>
      <w:r w:rsidRPr="00AB7ECF">
        <w:rPr>
          <w:rFonts w:cs="Helvetica"/>
          <w:sz w:val="20"/>
          <w:szCs w:val="20"/>
        </w:rPr>
        <w:t>, E.S., McIver, J.D., Moghaddas, J.J.</w:t>
      </w:r>
      <w:r w:rsidRPr="00AB7ECF">
        <w:rPr>
          <w:rFonts w:cs="Helvetica"/>
          <w:i/>
          <w:iCs/>
          <w:sz w:val="20"/>
          <w:szCs w:val="20"/>
        </w:rPr>
        <w:t xml:space="preserve"> et al.</w:t>
      </w:r>
      <w:r w:rsidRPr="00AB7ECF">
        <w:rPr>
          <w:rFonts w:cs="Helvetica"/>
          <w:sz w:val="20"/>
          <w:szCs w:val="20"/>
        </w:rPr>
        <w:t xml:space="preserve"> 2008 The economics of alternative fuel reduction treatments in western United States dry forests: Financial and policy implications from the National Fire and Fire Surrogate Study. </w:t>
      </w:r>
      <w:r w:rsidRPr="00AB7ECF">
        <w:rPr>
          <w:rFonts w:cs="Helvetica"/>
          <w:i/>
          <w:iCs/>
          <w:sz w:val="20"/>
          <w:szCs w:val="20"/>
        </w:rPr>
        <w:t>Forest Policy and Economics</w:t>
      </w:r>
      <w:r w:rsidRPr="00AB7ECF">
        <w:rPr>
          <w:rFonts w:cs="Helvetica"/>
          <w:sz w:val="20"/>
          <w:szCs w:val="20"/>
        </w:rPr>
        <w:t xml:space="preserve">, </w:t>
      </w:r>
      <w:r w:rsidRPr="00AB7ECF">
        <w:rPr>
          <w:rFonts w:cs="Helvetica"/>
          <w:b/>
          <w:bCs/>
          <w:sz w:val="20"/>
          <w:szCs w:val="20"/>
        </w:rPr>
        <w:t>10</w:t>
      </w:r>
      <w:r w:rsidRPr="00AB7ECF">
        <w:rPr>
          <w:rFonts w:cs="Helvetica"/>
          <w:sz w:val="20"/>
          <w:szCs w:val="20"/>
        </w:rPr>
        <w:t>, 344-354.</w:t>
      </w:r>
      <w:r>
        <w:rPr>
          <w:rFonts w:cs="Helvetica"/>
          <w:sz w:val="20"/>
          <w:szCs w:val="20"/>
        </w:rPr>
        <w:t xml:space="preserve"> </w:t>
      </w:r>
      <w:r w:rsidRPr="00AB7ECF">
        <w:rPr>
          <w:rFonts w:cs="Helvetica"/>
          <w:sz w:val="20"/>
          <w:szCs w:val="20"/>
        </w:rPr>
        <w:t xml:space="preserve">Stewart, W.C. and Nakamura, G. 2012 Documenting the full climate benefits of harvested wood products in Northern California: Linking harvests to the U.S. Greenhouse Gas Inventory. </w:t>
      </w:r>
      <w:r w:rsidRPr="00AB7ECF">
        <w:rPr>
          <w:rFonts w:cs="Helvetica"/>
          <w:i/>
          <w:iCs/>
          <w:sz w:val="20"/>
          <w:szCs w:val="20"/>
        </w:rPr>
        <w:t>Forest Products Journal</w:t>
      </w:r>
      <w:r w:rsidRPr="00AB7ECF">
        <w:rPr>
          <w:rFonts w:cs="Helvetica"/>
          <w:sz w:val="20"/>
          <w:szCs w:val="20"/>
        </w:rPr>
        <w:t xml:space="preserve">, </w:t>
      </w:r>
      <w:r w:rsidRPr="00AB7ECF">
        <w:rPr>
          <w:rFonts w:cs="Helvetica"/>
          <w:b/>
          <w:bCs/>
          <w:sz w:val="20"/>
          <w:szCs w:val="20"/>
        </w:rPr>
        <w:t>62</w:t>
      </w:r>
      <w:r w:rsidRPr="00AB7ECF">
        <w:rPr>
          <w:rFonts w:cs="Helvetica"/>
          <w:sz w:val="20"/>
          <w:szCs w:val="20"/>
        </w:rPr>
        <w:t>, 340-353.</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41FE9"/>
    <w:multiLevelType w:val="hybridMultilevel"/>
    <w:tmpl w:val="53C2A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482DE0"/>
    <w:multiLevelType w:val="hybridMultilevel"/>
    <w:tmpl w:val="48541C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9F5E94"/>
    <w:multiLevelType w:val="hybridMultilevel"/>
    <w:tmpl w:val="53C2A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045337"/>
    <w:multiLevelType w:val="hybridMultilevel"/>
    <w:tmpl w:val="15F0E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307"/>
    <w:rsid w:val="000037D9"/>
    <w:rsid w:val="000202ED"/>
    <w:rsid w:val="00036C2D"/>
    <w:rsid w:val="00046F95"/>
    <w:rsid w:val="000676DE"/>
    <w:rsid w:val="0008769B"/>
    <w:rsid w:val="000B648F"/>
    <w:rsid w:val="000E0DFC"/>
    <w:rsid w:val="000F6076"/>
    <w:rsid w:val="00112B28"/>
    <w:rsid w:val="00116A72"/>
    <w:rsid w:val="0012207C"/>
    <w:rsid w:val="00136A30"/>
    <w:rsid w:val="00142746"/>
    <w:rsid w:val="00144617"/>
    <w:rsid w:val="00151ED0"/>
    <w:rsid w:val="00176E5B"/>
    <w:rsid w:val="00177ECF"/>
    <w:rsid w:val="00184AB6"/>
    <w:rsid w:val="0019354D"/>
    <w:rsid w:val="00196811"/>
    <w:rsid w:val="001A3FF5"/>
    <w:rsid w:val="001F02F0"/>
    <w:rsid w:val="00200676"/>
    <w:rsid w:val="00223516"/>
    <w:rsid w:val="002357F5"/>
    <w:rsid w:val="0025308E"/>
    <w:rsid w:val="0026138B"/>
    <w:rsid w:val="0028490A"/>
    <w:rsid w:val="00297B5A"/>
    <w:rsid w:val="002A4655"/>
    <w:rsid w:val="002B7B5E"/>
    <w:rsid w:val="002C22E6"/>
    <w:rsid w:val="002C4B38"/>
    <w:rsid w:val="002D4566"/>
    <w:rsid w:val="002E2A6D"/>
    <w:rsid w:val="002F2BE8"/>
    <w:rsid w:val="002F3451"/>
    <w:rsid w:val="003171AF"/>
    <w:rsid w:val="0033348B"/>
    <w:rsid w:val="003400E5"/>
    <w:rsid w:val="00386FA0"/>
    <w:rsid w:val="00397EA9"/>
    <w:rsid w:val="003B6B95"/>
    <w:rsid w:val="003C264D"/>
    <w:rsid w:val="003D42FD"/>
    <w:rsid w:val="00401AB5"/>
    <w:rsid w:val="00402586"/>
    <w:rsid w:val="00424F66"/>
    <w:rsid w:val="00451641"/>
    <w:rsid w:val="00454B61"/>
    <w:rsid w:val="00466C76"/>
    <w:rsid w:val="00466FCC"/>
    <w:rsid w:val="00475C6E"/>
    <w:rsid w:val="004B32C0"/>
    <w:rsid w:val="004C5010"/>
    <w:rsid w:val="004D0872"/>
    <w:rsid w:val="004D36B9"/>
    <w:rsid w:val="004E7EE9"/>
    <w:rsid w:val="005157A3"/>
    <w:rsid w:val="00516698"/>
    <w:rsid w:val="00535D1E"/>
    <w:rsid w:val="00544BF6"/>
    <w:rsid w:val="00546661"/>
    <w:rsid w:val="00546873"/>
    <w:rsid w:val="00562DEE"/>
    <w:rsid w:val="00565799"/>
    <w:rsid w:val="0057153D"/>
    <w:rsid w:val="00572307"/>
    <w:rsid w:val="00575134"/>
    <w:rsid w:val="00582181"/>
    <w:rsid w:val="00590B2F"/>
    <w:rsid w:val="005A58F7"/>
    <w:rsid w:val="005B7079"/>
    <w:rsid w:val="005D3C26"/>
    <w:rsid w:val="005F1440"/>
    <w:rsid w:val="006024FF"/>
    <w:rsid w:val="00623F99"/>
    <w:rsid w:val="00627A41"/>
    <w:rsid w:val="00646A56"/>
    <w:rsid w:val="00662D71"/>
    <w:rsid w:val="00676447"/>
    <w:rsid w:val="00680272"/>
    <w:rsid w:val="006B758B"/>
    <w:rsid w:val="006C6195"/>
    <w:rsid w:val="006E3274"/>
    <w:rsid w:val="0070563D"/>
    <w:rsid w:val="0070580A"/>
    <w:rsid w:val="007154E7"/>
    <w:rsid w:val="007264AB"/>
    <w:rsid w:val="0073779F"/>
    <w:rsid w:val="00741488"/>
    <w:rsid w:val="007528FD"/>
    <w:rsid w:val="00753169"/>
    <w:rsid w:val="00780448"/>
    <w:rsid w:val="00784BF6"/>
    <w:rsid w:val="00786079"/>
    <w:rsid w:val="0079510C"/>
    <w:rsid w:val="007B0CC3"/>
    <w:rsid w:val="007B2FB4"/>
    <w:rsid w:val="007C03C7"/>
    <w:rsid w:val="007C59F0"/>
    <w:rsid w:val="007E3D95"/>
    <w:rsid w:val="00800A3B"/>
    <w:rsid w:val="00857ECE"/>
    <w:rsid w:val="00892CB9"/>
    <w:rsid w:val="008A66A8"/>
    <w:rsid w:val="008C31DB"/>
    <w:rsid w:val="008E5137"/>
    <w:rsid w:val="00904AA8"/>
    <w:rsid w:val="009055E0"/>
    <w:rsid w:val="00912DD3"/>
    <w:rsid w:val="00913F78"/>
    <w:rsid w:val="00924C04"/>
    <w:rsid w:val="00937D0F"/>
    <w:rsid w:val="0094545F"/>
    <w:rsid w:val="009538EB"/>
    <w:rsid w:val="009B6C33"/>
    <w:rsid w:val="009C248D"/>
    <w:rsid w:val="009D16F9"/>
    <w:rsid w:val="00A01B03"/>
    <w:rsid w:val="00A07FBD"/>
    <w:rsid w:val="00A10D9E"/>
    <w:rsid w:val="00A158A8"/>
    <w:rsid w:val="00A20625"/>
    <w:rsid w:val="00A26A86"/>
    <w:rsid w:val="00A34C96"/>
    <w:rsid w:val="00A41368"/>
    <w:rsid w:val="00A727A6"/>
    <w:rsid w:val="00A775E3"/>
    <w:rsid w:val="00AB7ECF"/>
    <w:rsid w:val="00AE23C0"/>
    <w:rsid w:val="00B22F63"/>
    <w:rsid w:val="00B27964"/>
    <w:rsid w:val="00B74898"/>
    <w:rsid w:val="00B74E4C"/>
    <w:rsid w:val="00B93F46"/>
    <w:rsid w:val="00BA78BB"/>
    <w:rsid w:val="00BB7956"/>
    <w:rsid w:val="00C02715"/>
    <w:rsid w:val="00C110F8"/>
    <w:rsid w:val="00C1438B"/>
    <w:rsid w:val="00C33968"/>
    <w:rsid w:val="00C55004"/>
    <w:rsid w:val="00CA07B1"/>
    <w:rsid w:val="00CA295F"/>
    <w:rsid w:val="00CB149A"/>
    <w:rsid w:val="00CB61DE"/>
    <w:rsid w:val="00CB6FC1"/>
    <w:rsid w:val="00CC15D9"/>
    <w:rsid w:val="00CD199B"/>
    <w:rsid w:val="00CD7763"/>
    <w:rsid w:val="00CE209B"/>
    <w:rsid w:val="00CF3386"/>
    <w:rsid w:val="00CF71CB"/>
    <w:rsid w:val="00D22D39"/>
    <w:rsid w:val="00D44001"/>
    <w:rsid w:val="00D44A07"/>
    <w:rsid w:val="00D520A7"/>
    <w:rsid w:val="00D53842"/>
    <w:rsid w:val="00D576BA"/>
    <w:rsid w:val="00D57E02"/>
    <w:rsid w:val="00D657AC"/>
    <w:rsid w:val="00D66B5D"/>
    <w:rsid w:val="00D758A1"/>
    <w:rsid w:val="00D764C5"/>
    <w:rsid w:val="00D8592C"/>
    <w:rsid w:val="00D963F1"/>
    <w:rsid w:val="00DA2C8B"/>
    <w:rsid w:val="00DB1B4C"/>
    <w:rsid w:val="00DC5F75"/>
    <w:rsid w:val="00DC7434"/>
    <w:rsid w:val="00DD3D1B"/>
    <w:rsid w:val="00DD426A"/>
    <w:rsid w:val="00DE0A53"/>
    <w:rsid w:val="00DE4B4A"/>
    <w:rsid w:val="00E11C09"/>
    <w:rsid w:val="00E25399"/>
    <w:rsid w:val="00E2753C"/>
    <w:rsid w:val="00E33283"/>
    <w:rsid w:val="00E37DCC"/>
    <w:rsid w:val="00E63028"/>
    <w:rsid w:val="00E7425A"/>
    <w:rsid w:val="00E827C0"/>
    <w:rsid w:val="00EA43FA"/>
    <w:rsid w:val="00EC66D3"/>
    <w:rsid w:val="00ED1D77"/>
    <w:rsid w:val="00EF1D4B"/>
    <w:rsid w:val="00EF4C8F"/>
    <w:rsid w:val="00F02585"/>
    <w:rsid w:val="00F13A3D"/>
    <w:rsid w:val="00F70417"/>
    <w:rsid w:val="00FA0767"/>
    <w:rsid w:val="00FA4697"/>
    <w:rsid w:val="00FB13F2"/>
    <w:rsid w:val="00FC664E"/>
    <w:rsid w:val="00FD36F8"/>
    <w:rsid w:val="00FE7F7C"/>
    <w:rsid w:val="00FF1313"/>
    <w:rsid w:val="00FF7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499E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23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2307"/>
    <w:rPr>
      <w:rFonts w:ascii="Lucida Grande" w:hAnsi="Lucida Grande" w:cs="Lucida Grande"/>
      <w:sz w:val="18"/>
      <w:szCs w:val="18"/>
    </w:rPr>
  </w:style>
  <w:style w:type="character" w:styleId="Hyperlink">
    <w:name w:val="Hyperlink"/>
    <w:basedOn w:val="DefaultParagraphFont"/>
    <w:uiPriority w:val="99"/>
    <w:unhideWhenUsed/>
    <w:rsid w:val="00572307"/>
    <w:rPr>
      <w:color w:val="0000FF" w:themeColor="hyperlink"/>
      <w:u w:val="single"/>
    </w:rPr>
  </w:style>
  <w:style w:type="paragraph" w:styleId="ListParagraph">
    <w:name w:val="List Paragraph"/>
    <w:basedOn w:val="Normal"/>
    <w:uiPriority w:val="34"/>
    <w:qFormat/>
    <w:rsid w:val="00036C2D"/>
    <w:pPr>
      <w:ind w:left="720"/>
      <w:contextualSpacing/>
    </w:pPr>
  </w:style>
  <w:style w:type="paragraph" w:styleId="Footer">
    <w:name w:val="footer"/>
    <w:basedOn w:val="Normal"/>
    <w:link w:val="FooterChar"/>
    <w:uiPriority w:val="99"/>
    <w:unhideWhenUsed/>
    <w:rsid w:val="00FB13F2"/>
    <w:pPr>
      <w:tabs>
        <w:tab w:val="center" w:pos="4320"/>
        <w:tab w:val="right" w:pos="8640"/>
      </w:tabs>
    </w:pPr>
  </w:style>
  <w:style w:type="character" w:customStyle="1" w:styleId="FooterChar">
    <w:name w:val="Footer Char"/>
    <w:basedOn w:val="DefaultParagraphFont"/>
    <w:link w:val="Footer"/>
    <w:uiPriority w:val="99"/>
    <w:rsid w:val="00FB13F2"/>
  </w:style>
  <w:style w:type="character" w:styleId="PageNumber">
    <w:name w:val="page number"/>
    <w:basedOn w:val="DefaultParagraphFont"/>
    <w:uiPriority w:val="99"/>
    <w:semiHidden/>
    <w:unhideWhenUsed/>
    <w:rsid w:val="00FB13F2"/>
  </w:style>
  <w:style w:type="paragraph" w:styleId="FootnoteText">
    <w:name w:val="footnote text"/>
    <w:basedOn w:val="Normal"/>
    <w:link w:val="FootnoteTextChar"/>
    <w:uiPriority w:val="99"/>
    <w:unhideWhenUsed/>
    <w:rsid w:val="00E33283"/>
  </w:style>
  <w:style w:type="character" w:customStyle="1" w:styleId="FootnoteTextChar">
    <w:name w:val="Footnote Text Char"/>
    <w:basedOn w:val="DefaultParagraphFont"/>
    <w:link w:val="FootnoteText"/>
    <w:uiPriority w:val="99"/>
    <w:rsid w:val="00E33283"/>
  </w:style>
  <w:style w:type="character" w:styleId="FootnoteReference">
    <w:name w:val="footnote reference"/>
    <w:basedOn w:val="DefaultParagraphFont"/>
    <w:uiPriority w:val="99"/>
    <w:unhideWhenUsed/>
    <w:rsid w:val="00E33283"/>
    <w:rPr>
      <w:vertAlign w:val="superscript"/>
    </w:rPr>
  </w:style>
  <w:style w:type="paragraph" w:styleId="Revision">
    <w:name w:val="Revision"/>
    <w:hidden/>
    <w:uiPriority w:val="99"/>
    <w:semiHidden/>
    <w:rsid w:val="00BB7956"/>
  </w:style>
  <w:style w:type="table" w:styleId="TableGrid">
    <w:name w:val="Table Grid"/>
    <w:basedOn w:val="TableNormal"/>
    <w:uiPriority w:val="59"/>
    <w:rsid w:val="000037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4545F"/>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223516"/>
    <w:pPr>
      <w:tabs>
        <w:tab w:val="center" w:pos="4320"/>
        <w:tab w:val="right" w:pos="8640"/>
      </w:tabs>
    </w:pPr>
  </w:style>
  <w:style w:type="character" w:customStyle="1" w:styleId="HeaderChar">
    <w:name w:val="Header Char"/>
    <w:basedOn w:val="DefaultParagraphFont"/>
    <w:link w:val="Header"/>
    <w:uiPriority w:val="99"/>
    <w:rsid w:val="00223516"/>
  </w:style>
  <w:style w:type="character" w:styleId="CommentReference">
    <w:name w:val="annotation reference"/>
    <w:basedOn w:val="DefaultParagraphFont"/>
    <w:uiPriority w:val="99"/>
    <w:semiHidden/>
    <w:unhideWhenUsed/>
    <w:rsid w:val="00676447"/>
    <w:rPr>
      <w:sz w:val="16"/>
      <w:szCs w:val="16"/>
    </w:rPr>
  </w:style>
  <w:style w:type="paragraph" w:styleId="CommentText">
    <w:name w:val="annotation text"/>
    <w:basedOn w:val="Normal"/>
    <w:link w:val="CommentTextChar"/>
    <w:uiPriority w:val="99"/>
    <w:semiHidden/>
    <w:unhideWhenUsed/>
    <w:rsid w:val="00676447"/>
    <w:rPr>
      <w:sz w:val="20"/>
      <w:szCs w:val="20"/>
    </w:rPr>
  </w:style>
  <w:style w:type="character" w:customStyle="1" w:styleId="CommentTextChar">
    <w:name w:val="Comment Text Char"/>
    <w:basedOn w:val="DefaultParagraphFont"/>
    <w:link w:val="CommentText"/>
    <w:uiPriority w:val="99"/>
    <w:semiHidden/>
    <w:rsid w:val="00676447"/>
    <w:rPr>
      <w:sz w:val="20"/>
      <w:szCs w:val="20"/>
    </w:rPr>
  </w:style>
  <w:style w:type="paragraph" w:styleId="CommentSubject">
    <w:name w:val="annotation subject"/>
    <w:basedOn w:val="CommentText"/>
    <w:next w:val="CommentText"/>
    <w:link w:val="CommentSubjectChar"/>
    <w:uiPriority w:val="99"/>
    <w:semiHidden/>
    <w:unhideWhenUsed/>
    <w:rsid w:val="00676447"/>
    <w:rPr>
      <w:b/>
      <w:bCs/>
    </w:rPr>
  </w:style>
  <w:style w:type="character" w:customStyle="1" w:styleId="CommentSubjectChar">
    <w:name w:val="Comment Subject Char"/>
    <w:basedOn w:val="CommentTextChar"/>
    <w:link w:val="CommentSubject"/>
    <w:uiPriority w:val="99"/>
    <w:semiHidden/>
    <w:rsid w:val="00676447"/>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23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2307"/>
    <w:rPr>
      <w:rFonts w:ascii="Lucida Grande" w:hAnsi="Lucida Grande" w:cs="Lucida Grande"/>
      <w:sz w:val="18"/>
      <w:szCs w:val="18"/>
    </w:rPr>
  </w:style>
  <w:style w:type="character" w:styleId="Hyperlink">
    <w:name w:val="Hyperlink"/>
    <w:basedOn w:val="DefaultParagraphFont"/>
    <w:uiPriority w:val="99"/>
    <w:unhideWhenUsed/>
    <w:rsid w:val="00572307"/>
    <w:rPr>
      <w:color w:val="0000FF" w:themeColor="hyperlink"/>
      <w:u w:val="single"/>
    </w:rPr>
  </w:style>
  <w:style w:type="paragraph" w:styleId="ListParagraph">
    <w:name w:val="List Paragraph"/>
    <w:basedOn w:val="Normal"/>
    <w:uiPriority w:val="34"/>
    <w:qFormat/>
    <w:rsid w:val="00036C2D"/>
    <w:pPr>
      <w:ind w:left="720"/>
      <w:contextualSpacing/>
    </w:pPr>
  </w:style>
  <w:style w:type="paragraph" w:styleId="Footer">
    <w:name w:val="footer"/>
    <w:basedOn w:val="Normal"/>
    <w:link w:val="FooterChar"/>
    <w:uiPriority w:val="99"/>
    <w:unhideWhenUsed/>
    <w:rsid w:val="00FB13F2"/>
    <w:pPr>
      <w:tabs>
        <w:tab w:val="center" w:pos="4320"/>
        <w:tab w:val="right" w:pos="8640"/>
      </w:tabs>
    </w:pPr>
  </w:style>
  <w:style w:type="character" w:customStyle="1" w:styleId="FooterChar">
    <w:name w:val="Footer Char"/>
    <w:basedOn w:val="DefaultParagraphFont"/>
    <w:link w:val="Footer"/>
    <w:uiPriority w:val="99"/>
    <w:rsid w:val="00FB13F2"/>
  </w:style>
  <w:style w:type="character" w:styleId="PageNumber">
    <w:name w:val="page number"/>
    <w:basedOn w:val="DefaultParagraphFont"/>
    <w:uiPriority w:val="99"/>
    <w:semiHidden/>
    <w:unhideWhenUsed/>
    <w:rsid w:val="00FB13F2"/>
  </w:style>
  <w:style w:type="paragraph" w:styleId="FootnoteText">
    <w:name w:val="footnote text"/>
    <w:basedOn w:val="Normal"/>
    <w:link w:val="FootnoteTextChar"/>
    <w:uiPriority w:val="99"/>
    <w:unhideWhenUsed/>
    <w:rsid w:val="00E33283"/>
  </w:style>
  <w:style w:type="character" w:customStyle="1" w:styleId="FootnoteTextChar">
    <w:name w:val="Footnote Text Char"/>
    <w:basedOn w:val="DefaultParagraphFont"/>
    <w:link w:val="FootnoteText"/>
    <w:uiPriority w:val="99"/>
    <w:rsid w:val="00E33283"/>
  </w:style>
  <w:style w:type="character" w:styleId="FootnoteReference">
    <w:name w:val="footnote reference"/>
    <w:basedOn w:val="DefaultParagraphFont"/>
    <w:uiPriority w:val="99"/>
    <w:unhideWhenUsed/>
    <w:rsid w:val="00E33283"/>
    <w:rPr>
      <w:vertAlign w:val="superscript"/>
    </w:rPr>
  </w:style>
  <w:style w:type="paragraph" w:styleId="Revision">
    <w:name w:val="Revision"/>
    <w:hidden/>
    <w:uiPriority w:val="99"/>
    <w:semiHidden/>
    <w:rsid w:val="00BB7956"/>
  </w:style>
  <w:style w:type="table" w:styleId="TableGrid">
    <w:name w:val="Table Grid"/>
    <w:basedOn w:val="TableNormal"/>
    <w:uiPriority w:val="59"/>
    <w:rsid w:val="000037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4545F"/>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223516"/>
    <w:pPr>
      <w:tabs>
        <w:tab w:val="center" w:pos="4320"/>
        <w:tab w:val="right" w:pos="8640"/>
      </w:tabs>
    </w:pPr>
  </w:style>
  <w:style w:type="character" w:customStyle="1" w:styleId="HeaderChar">
    <w:name w:val="Header Char"/>
    <w:basedOn w:val="DefaultParagraphFont"/>
    <w:link w:val="Header"/>
    <w:uiPriority w:val="99"/>
    <w:rsid w:val="00223516"/>
  </w:style>
  <w:style w:type="character" w:styleId="CommentReference">
    <w:name w:val="annotation reference"/>
    <w:basedOn w:val="DefaultParagraphFont"/>
    <w:uiPriority w:val="99"/>
    <w:semiHidden/>
    <w:unhideWhenUsed/>
    <w:rsid w:val="00676447"/>
    <w:rPr>
      <w:sz w:val="16"/>
      <w:szCs w:val="16"/>
    </w:rPr>
  </w:style>
  <w:style w:type="paragraph" w:styleId="CommentText">
    <w:name w:val="annotation text"/>
    <w:basedOn w:val="Normal"/>
    <w:link w:val="CommentTextChar"/>
    <w:uiPriority w:val="99"/>
    <w:semiHidden/>
    <w:unhideWhenUsed/>
    <w:rsid w:val="00676447"/>
    <w:rPr>
      <w:sz w:val="20"/>
      <w:szCs w:val="20"/>
    </w:rPr>
  </w:style>
  <w:style w:type="character" w:customStyle="1" w:styleId="CommentTextChar">
    <w:name w:val="Comment Text Char"/>
    <w:basedOn w:val="DefaultParagraphFont"/>
    <w:link w:val="CommentText"/>
    <w:uiPriority w:val="99"/>
    <w:semiHidden/>
    <w:rsid w:val="00676447"/>
    <w:rPr>
      <w:sz w:val="20"/>
      <w:szCs w:val="20"/>
    </w:rPr>
  </w:style>
  <w:style w:type="paragraph" w:styleId="CommentSubject">
    <w:name w:val="annotation subject"/>
    <w:basedOn w:val="CommentText"/>
    <w:next w:val="CommentText"/>
    <w:link w:val="CommentSubjectChar"/>
    <w:uiPriority w:val="99"/>
    <w:semiHidden/>
    <w:unhideWhenUsed/>
    <w:rsid w:val="00676447"/>
    <w:rPr>
      <w:b/>
      <w:bCs/>
    </w:rPr>
  </w:style>
  <w:style w:type="character" w:customStyle="1" w:styleId="CommentSubjectChar">
    <w:name w:val="Comment Subject Char"/>
    <w:basedOn w:val="CommentTextChar"/>
    <w:link w:val="CommentSubject"/>
    <w:uiPriority w:val="99"/>
    <w:semiHidden/>
    <w:rsid w:val="006764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2134">
      <w:bodyDiv w:val="1"/>
      <w:marLeft w:val="0"/>
      <w:marRight w:val="0"/>
      <w:marTop w:val="0"/>
      <w:marBottom w:val="0"/>
      <w:divBdr>
        <w:top w:val="none" w:sz="0" w:space="0" w:color="auto"/>
        <w:left w:val="none" w:sz="0" w:space="0" w:color="auto"/>
        <w:bottom w:val="none" w:sz="0" w:space="0" w:color="auto"/>
        <w:right w:val="none" w:sz="0" w:space="0" w:color="auto"/>
      </w:divBdr>
    </w:div>
    <w:div w:id="22173944">
      <w:bodyDiv w:val="1"/>
      <w:marLeft w:val="0"/>
      <w:marRight w:val="0"/>
      <w:marTop w:val="0"/>
      <w:marBottom w:val="0"/>
      <w:divBdr>
        <w:top w:val="none" w:sz="0" w:space="0" w:color="auto"/>
        <w:left w:val="none" w:sz="0" w:space="0" w:color="auto"/>
        <w:bottom w:val="none" w:sz="0" w:space="0" w:color="auto"/>
        <w:right w:val="none" w:sz="0" w:space="0" w:color="auto"/>
      </w:divBdr>
    </w:div>
    <w:div w:id="128060514">
      <w:bodyDiv w:val="1"/>
      <w:marLeft w:val="0"/>
      <w:marRight w:val="0"/>
      <w:marTop w:val="0"/>
      <w:marBottom w:val="0"/>
      <w:divBdr>
        <w:top w:val="none" w:sz="0" w:space="0" w:color="auto"/>
        <w:left w:val="none" w:sz="0" w:space="0" w:color="auto"/>
        <w:bottom w:val="none" w:sz="0" w:space="0" w:color="auto"/>
        <w:right w:val="none" w:sz="0" w:space="0" w:color="auto"/>
      </w:divBdr>
    </w:div>
    <w:div w:id="236598520">
      <w:bodyDiv w:val="1"/>
      <w:marLeft w:val="0"/>
      <w:marRight w:val="0"/>
      <w:marTop w:val="0"/>
      <w:marBottom w:val="0"/>
      <w:divBdr>
        <w:top w:val="none" w:sz="0" w:space="0" w:color="auto"/>
        <w:left w:val="none" w:sz="0" w:space="0" w:color="auto"/>
        <w:bottom w:val="none" w:sz="0" w:space="0" w:color="auto"/>
        <w:right w:val="none" w:sz="0" w:space="0" w:color="auto"/>
      </w:divBdr>
    </w:div>
    <w:div w:id="407575891">
      <w:bodyDiv w:val="1"/>
      <w:marLeft w:val="0"/>
      <w:marRight w:val="0"/>
      <w:marTop w:val="0"/>
      <w:marBottom w:val="0"/>
      <w:divBdr>
        <w:top w:val="none" w:sz="0" w:space="0" w:color="auto"/>
        <w:left w:val="none" w:sz="0" w:space="0" w:color="auto"/>
        <w:bottom w:val="none" w:sz="0" w:space="0" w:color="auto"/>
        <w:right w:val="none" w:sz="0" w:space="0" w:color="auto"/>
      </w:divBdr>
    </w:div>
    <w:div w:id="476457949">
      <w:bodyDiv w:val="1"/>
      <w:marLeft w:val="0"/>
      <w:marRight w:val="0"/>
      <w:marTop w:val="0"/>
      <w:marBottom w:val="0"/>
      <w:divBdr>
        <w:top w:val="none" w:sz="0" w:space="0" w:color="auto"/>
        <w:left w:val="none" w:sz="0" w:space="0" w:color="auto"/>
        <w:bottom w:val="none" w:sz="0" w:space="0" w:color="auto"/>
        <w:right w:val="none" w:sz="0" w:space="0" w:color="auto"/>
      </w:divBdr>
    </w:div>
    <w:div w:id="520894478">
      <w:bodyDiv w:val="1"/>
      <w:marLeft w:val="0"/>
      <w:marRight w:val="0"/>
      <w:marTop w:val="0"/>
      <w:marBottom w:val="0"/>
      <w:divBdr>
        <w:top w:val="none" w:sz="0" w:space="0" w:color="auto"/>
        <w:left w:val="none" w:sz="0" w:space="0" w:color="auto"/>
        <w:bottom w:val="none" w:sz="0" w:space="0" w:color="auto"/>
        <w:right w:val="none" w:sz="0" w:space="0" w:color="auto"/>
      </w:divBdr>
    </w:div>
    <w:div w:id="609319725">
      <w:bodyDiv w:val="1"/>
      <w:marLeft w:val="0"/>
      <w:marRight w:val="0"/>
      <w:marTop w:val="0"/>
      <w:marBottom w:val="0"/>
      <w:divBdr>
        <w:top w:val="none" w:sz="0" w:space="0" w:color="auto"/>
        <w:left w:val="none" w:sz="0" w:space="0" w:color="auto"/>
        <w:bottom w:val="none" w:sz="0" w:space="0" w:color="auto"/>
        <w:right w:val="none" w:sz="0" w:space="0" w:color="auto"/>
      </w:divBdr>
    </w:div>
    <w:div w:id="610089651">
      <w:bodyDiv w:val="1"/>
      <w:marLeft w:val="0"/>
      <w:marRight w:val="0"/>
      <w:marTop w:val="0"/>
      <w:marBottom w:val="0"/>
      <w:divBdr>
        <w:top w:val="none" w:sz="0" w:space="0" w:color="auto"/>
        <w:left w:val="none" w:sz="0" w:space="0" w:color="auto"/>
        <w:bottom w:val="none" w:sz="0" w:space="0" w:color="auto"/>
        <w:right w:val="none" w:sz="0" w:space="0" w:color="auto"/>
      </w:divBdr>
    </w:div>
    <w:div w:id="852648997">
      <w:bodyDiv w:val="1"/>
      <w:marLeft w:val="0"/>
      <w:marRight w:val="0"/>
      <w:marTop w:val="0"/>
      <w:marBottom w:val="0"/>
      <w:divBdr>
        <w:top w:val="none" w:sz="0" w:space="0" w:color="auto"/>
        <w:left w:val="none" w:sz="0" w:space="0" w:color="auto"/>
        <w:bottom w:val="none" w:sz="0" w:space="0" w:color="auto"/>
        <w:right w:val="none" w:sz="0" w:space="0" w:color="auto"/>
      </w:divBdr>
    </w:div>
    <w:div w:id="893197873">
      <w:bodyDiv w:val="1"/>
      <w:marLeft w:val="0"/>
      <w:marRight w:val="0"/>
      <w:marTop w:val="0"/>
      <w:marBottom w:val="0"/>
      <w:divBdr>
        <w:top w:val="none" w:sz="0" w:space="0" w:color="auto"/>
        <w:left w:val="none" w:sz="0" w:space="0" w:color="auto"/>
        <w:bottom w:val="none" w:sz="0" w:space="0" w:color="auto"/>
        <w:right w:val="none" w:sz="0" w:space="0" w:color="auto"/>
      </w:divBdr>
    </w:div>
    <w:div w:id="915407700">
      <w:bodyDiv w:val="1"/>
      <w:marLeft w:val="0"/>
      <w:marRight w:val="0"/>
      <w:marTop w:val="0"/>
      <w:marBottom w:val="0"/>
      <w:divBdr>
        <w:top w:val="none" w:sz="0" w:space="0" w:color="auto"/>
        <w:left w:val="none" w:sz="0" w:space="0" w:color="auto"/>
        <w:bottom w:val="none" w:sz="0" w:space="0" w:color="auto"/>
        <w:right w:val="none" w:sz="0" w:space="0" w:color="auto"/>
      </w:divBdr>
    </w:div>
    <w:div w:id="1022367055">
      <w:bodyDiv w:val="1"/>
      <w:marLeft w:val="0"/>
      <w:marRight w:val="0"/>
      <w:marTop w:val="0"/>
      <w:marBottom w:val="0"/>
      <w:divBdr>
        <w:top w:val="none" w:sz="0" w:space="0" w:color="auto"/>
        <w:left w:val="none" w:sz="0" w:space="0" w:color="auto"/>
        <w:bottom w:val="none" w:sz="0" w:space="0" w:color="auto"/>
        <w:right w:val="none" w:sz="0" w:space="0" w:color="auto"/>
      </w:divBdr>
    </w:div>
    <w:div w:id="1124737405">
      <w:bodyDiv w:val="1"/>
      <w:marLeft w:val="0"/>
      <w:marRight w:val="0"/>
      <w:marTop w:val="0"/>
      <w:marBottom w:val="0"/>
      <w:divBdr>
        <w:top w:val="none" w:sz="0" w:space="0" w:color="auto"/>
        <w:left w:val="none" w:sz="0" w:space="0" w:color="auto"/>
        <w:bottom w:val="none" w:sz="0" w:space="0" w:color="auto"/>
        <w:right w:val="none" w:sz="0" w:space="0" w:color="auto"/>
      </w:divBdr>
    </w:div>
    <w:div w:id="1382098338">
      <w:bodyDiv w:val="1"/>
      <w:marLeft w:val="0"/>
      <w:marRight w:val="0"/>
      <w:marTop w:val="0"/>
      <w:marBottom w:val="0"/>
      <w:divBdr>
        <w:top w:val="none" w:sz="0" w:space="0" w:color="auto"/>
        <w:left w:val="none" w:sz="0" w:space="0" w:color="auto"/>
        <w:bottom w:val="none" w:sz="0" w:space="0" w:color="auto"/>
        <w:right w:val="none" w:sz="0" w:space="0" w:color="auto"/>
      </w:divBdr>
    </w:div>
    <w:div w:id="1447580786">
      <w:bodyDiv w:val="1"/>
      <w:marLeft w:val="0"/>
      <w:marRight w:val="0"/>
      <w:marTop w:val="0"/>
      <w:marBottom w:val="0"/>
      <w:divBdr>
        <w:top w:val="none" w:sz="0" w:space="0" w:color="auto"/>
        <w:left w:val="none" w:sz="0" w:space="0" w:color="auto"/>
        <w:bottom w:val="none" w:sz="0" w:space="0" w:color="auto"/>
        <w:right w:val="none" w:sz="0" w:space="0" w:color="auto"/>
      </w:divBdr>
    </w:div>
    <w:div w:id="1499881475">
      <w:bodyDiv w:val="1"/>
      <w:marLeft w:val="0"/>
      <w:marRight w:val="0"/>
      <w:marTop w:val="0"/>
      <w:marBottom w:val="0"/>
      <w:divBdr>
        <w:top w:val="none" w:sz="0" w:space="0" w:color="auto"/>
        <w:left w:val="none" w:sz="0" w:space="0" w:color="auto"/>
        <w:bottom w:val="none" w:sz="0" w:space="0" w:color="auto"/>
        <w:right w:val="none" w:sz="0" w:space="0" w:color="auto"/>
      </w:divBdr>
    </w:div>
    <w:div w:id="1505391192">
      <w:bodyDiv w:val="1"/>
      <w:marLeft w:val="0"/>
      <w:marRight w:val="0"/>
      <w:marTop w:val="0"/>
      <w:marBottom w:val="0"/>
      <w:divBdr>
        <w:top w:val="none" w:sz="0" w:space="0" w:color="auto"/>
        <w:left w:val="none" w:sz="0" w:space="0" w:color="auto"/>
        <w:bottom w:val="none" w:sz="0" w:space="0" w:color="auto"/>
        <w:right w:val="none" w:sz="0" w:space="0" w:color="auto"/>
      </w:divBdr>
    </w:div>
    <w:div w:id="1508591398">
      <w:bodyDiv w:val="1"/>
      <w:marLeft w:val="0"/>
      <w:marRight w:val="0"/>
      <w:marTop w:val="0"/>
      <w:marBottom w:val="0"/>
      <w:divBdr>
        <w:top w:val="none" w:sz="0" w:space="0" w:color="auto"/>
        <w:left w:val="none" w:sz="0" w:space="0" w:color="auto"/>
        <w:bottom w:val="none" w:sz="0" w:space="0" w:color="auto"/>
        <w:right w:val="none" w:sz="0" w:space="0" w:color="auto"/>
      </w:divBdr>
    </w:div>
    <w:div w:id="1741096514">
      <w:bodyDiv w:val="1"/>
      <w:marLeft w:val="0"/>
      <w:marRight w:val="0"/>
      <w:marTop w:val="0"/>
      <w:marBottom w:val="0"/>
      <w:divBdr>
        <w:top w:val="none" w:sz="0" w:space="0" w:color="auto"/>
        <w:left w:val="none" w:sz="0" w:space="0" w:color="auto"/>
        <w:bottom w:val="none" w:sz="0" w:space="0" w:color="auto"/>
        <w:right w:val="none" w:sz="0" w:space="0" w:color="auto"/>
      </w:divBdr>
    </w:div>
    <w:div w:id="1741247972">
      <w:bodyDiv w:val="1"/>
      <w:marLeft w:val="0"/>
      <w:marRight w:val="0"/>
      <w:marTop w:val="0"/>
      <w:marBottom w:val="0"/>
      <w:divBdr>
        <w:top w:val="none" w:sz="0" w:space="0" w:color="auto"/>
        <w:left w:val="none" w:sz="0" w:space="0" w:color="auto"/>
        <w:bottom w:val="none" w:sz="0" w:space="0" w:color="auto"/>
        <w:right w:val="none" w:sz="0" w:space="0" w:color="auto"/>
      </w:divBdr>
    </w:div>
    <w:div w:id="1749308451">
      <w:bodyDiv w:val="1"/>
      <w:marLeft w:val="0"/>
      <w:marRight w:val="0"/>
      <w:marTop w:val="0"/>
      <w:marBottom w:val="0"/>
      <w:divBdr>
        <w:top w:val="none" w:sz="0" w:space="0" w:color="auto"/>
        <w:left w:val="none" w:sz="0" w:space="0" w:color="auto"/>
        <w:bottom w:val="none" w:sz="0" w:space="0" w:color="auto"/>
        <w:right w:val="none" w:sz="0" w:space="0" w:color="auto"/>
      </w:divBdr>
    </w:div>
    <w:div w:id="1752386530">
      <w:bodyDiv w:val="1"/>
      <w:marLeft w:val="0"/>
      <w:marRight w:val="0"/>
      <w:marTop w:val="0"/>
      <w:marBottom w:val="0"/>
      <w:divBdr>
        <w:top w:val="none" w:sz="0" w:space="0" w:color="auto"/>
        <w:left w:val="none" w:sz="0" w:space="0" w:color="auto"/>
        <w:bottom w:val="none" w:sz="0" w:space="0" w:color="auto"/>
        <w:right w:val="none" w:sz="0" w:space="0" w:color="auto"/>
      </w:divBdr>
    </w:div>
    <w:div w:id="1753551749">
      <w:bodyDiv w:val="1"/>
      <w:marLeft w:val="0"/>
      <w:marRight w:val="0"/>
      <w:marTop w:val="0"/>
      <w:marBottom w:val="0"/>
      <w:divBdr>
        <w:top w:val="none" w:sz="0" w:space="0" w:color="auto"/>
        <w:left w:val="none" w:sz="0" w:space="0" w:color="auto"/>
        <w:bottom w:val="none" w:sz="0" w:space="0" w:color="auto"/>
        <w:right w:val="none" w:sz="0" w:space="0" w:color="auto"/>
      </w:divBdr>
    </w:div>
    <w:div w:id="1802456215">
      <w:bodyDiv w:val="1"/>
      <w:marLeft w:val="0"/>
      <w:marRight w:val="0"/>
      <w:marTop w:val="0"/>
      <w:marBottom w:val="0"/>
      <w:divBdr>
        <w:top w:val="none" w:sz="0" w:space="0" w:color="auto"/>
        <w:left w:val="none" w:sz="0" w:space="0" w:color="auto"/>
        <w:bottom w:val="none" w:sz="0" w:space="0" w:color="auto"/>
        <w:right w:val="none" w:sz="0" w:space="0" w:color="auto"/>
      </w:divBdr>
    </w:div>
    <w:div w:id="1929077748">
      <w:bodyDiv w:val="1"/>
      <w:marLeft w:val="0"/>
      <w:marRight w:val="0"/>
      <w:marTop w:val="0"/>
      <w:marBottom w:val="0"/>
      <w:divBdr>
        <w:top w:val="none" w:sz="0" w:space="0" w:color="auto"/>
        <w:left w:val="none" w:sz="0" w:space="0" w:color="auto"/>
        <w:bottom w:val="none" w:sz="0" w:space="0" w:color="auto"/>
        <w:right w:val="none" w:sz="0" w:space="0" w:color="auto"/>
      </w:divBdr>
    </w:div>
    <w:div w:id="2064713556">
      <w:bodyDiv w:val="1"/>
      <w:marLeft w:val="0"/>
      <w:marRight w:val="0"/>
      <w:marTop w:val="0"/>
      <w:marBottom w:val="0"/>
      <w:divBdr>
        <w:top w:val="none" w:sz="0" w:space="0" w:color="auto"/>
        <w:left w:val="none" w:sz="0" w:space="0" w:color="auto"/>
        <w:bottom w:val="none" w:sz="0" w:space="0" w:color="auto"/>
        <w:right w:val="none" w:sz="0" w:space="0" w:color="auto"/>
      </w:divBdr>
    </w:div>
    <w:div w:id="2079132695">
      <w:bodyDiv w:val="1"/>
      <w:marLeft w:val="0"/>
      <w:marRight w:val="0"/>
      <w:marTop w:val="0"/>
      <w:marBottom w:val="0"/>
      <w:divBdr>
        <w:top w:val="none" w:sz="0" w:space="0" w:color="auto"/>
        <w:left w:val="none" w:sz="0" w:space="0" w:color="auto"/>
        <w:bottom w:val="none" w:sz="0" w:space="0" w:color="auto"/>
        <w:right w:val="none" w:sz="0" w:space="0" w:color="auto"/>
      </w:divBdr>
    </w:div>
    <w:div w:id="2092071746">
      <w:bodyDiv w:val="1"/>
      <w:marLeft w:val="0"/>
      <w:marRight w:val="0"/>
      <w:marTop w:val="0"/>
      <w:marBottom w:val="0"/>
      <w:divBdr>
        <w:top w:val="none" w:sz="0" w:space="0" w:color="auto"/>
        <w:left w:val="none" w:sz="0" w:space="0" w:color="auto"/>
        <w:bottom w:val="none" w:sz="0" w:space="0" w:color="auto"/>
        <w:right w:val="none" w:sz="0" w:space="0" w:color="auto"/>
      </w:divBdr>
    </w:div>
    <w:div w:id="21467715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2.jpeg"/><Relationship Id="rId13" Type="http://schemas.openxmlformats.org/officeDocument/2006/relationships/hyperlink" Target="http://ucanr.edu/sites/forestry/Carbon_Sequestration_Tool_for_THPs/" TargetMode="External"/><Relationship Id="rId14" Type="http://schemas.openxmlformats.org/officeDocument/2006/relationships/image" Target="media/image3.png"/><Relationship Id="rId15" Type="http://schemas.openxmlformats.org/officeDocument/2006/relationships/hyperlink" Target="http://www.ncasi2.org/GCOLE3/gcole.shtml" TargetMode="External"/><Relationship Id="rId16" Type="http://schemas.openxmlformats.org/officeDocument/2006/relationships/chart" Target="charts/chart1.xml"/><Relationship Id="rId17" Type="http://schemas.openxmlformats.org/officeDocument/2006/relationships/chart" Target="charts/chart2.xml"/><Relationship Id="rId18" Type="http://schemas.openxmlformats.org/officeDocument/2006/relationships/image" Target="media/image4.emf"/><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bills:Documents:C%20calculator%20article%202013:Fuels%20Treatment%20and%20Carb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bills:Documents:C%20calculator%20article%202013:Fuels%20Treatment%20and%20Carb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US" sz="1400"/>
              <a:t>California Mixed Conifer</a:t>
            </a:r>
            <a:r>
              <a:rPr lang="en-US" sz="1400" baseline="0"/>
              <a:t> (Private) - Carbon stocks by age class </a:t>
            </a:r>
            <a:endParaRPr lang="en-US" sz="1400"/>
          </a:p>
        </c:rich>
      </c:tx>
      <c:layout/>
      <c:overlay val="0"/>
    </c:title>
    <c:autoTitleDeleted val="0"/>
    <c:plotArea>
      <c:layout/>
      <c:barChart>
        <c:barDir val="col"/>
        <c:grouping val="stacked"/>
        <c:varyColors val="0"/>
        <c:ser>
          <c:idx val="3"/>
          <c:order val="0"/>
          <c:tx>
            <c:v>Soil C</c:v>
          </c:tx>
          <c:invertIfNegative val="0"/>
          <c:cat>
            <c:numLit>
              <c:formatCode>General</c:formatCode>
              <c:ptCount val="11"/>
              <c:pt idx="0">
                <c:v>0.0</c:v>
              </c:pt>
              <c:pt idx="1">
                <c:v>10.0</c:v>
              </c:pt>
              <c:pt idx="2">
                <c:v>20.0</c:v>
              </c:pt>
              <c:pt idx="3">
                <c:v>30.0</c:v>
              </c:pt>
              <c:pt idx="4">
                <c:v>40.0</c:v>
              </c:pt>
              <c:pt idx="5">
                <c:v>50.0</c:v>
              </c:pt>
              <c:pt idx="6">
                <c:v>60.0</c:v>
              </c:pt>
              <c:pt idx="7">
                <c:v>70.0</c:v>
              </c:pt>
              <c:pt idx="8">
                <c:v>80.0</c:v>
              </c:pt>
              <c:pt idx="9">
                <c:v>90.0</c:v>
              </c:pt>
              <c:pt idx="10">
                <c:v>100.0</c:v>
              </c:pt>
            </c:numLit>
          </c:cat>
          <c:val>
            <c:numLit>
              <c:formatCode>General</c:formatCode>
              <c:ptCount val="11"/>
              <c:pt idx="0">
                <c:v>37.35</c:v>
              </c:pt>
              <c:pt idx="1">
                <c:v>37.84</c:v>
              </c:pt>
              <c:pt idx="2">
                <c:v>39.19</c:v>
              </c:pt>
              <c:pt idx="3">
                <c:v>41.12</c:v>
              </c:pt>
              <c:pt idx="4">
                <c:v>43.24</c:v>
              </c:pt>
              <c:pt idx="5">
                <c:v>45.22</c:v>
              </c:pt>
              <c:pt idx="6">
                <c:v>46.85</c:v>
              </c:pt>
              <c:pt idx="7">
                <c:v>48.05</c:v>
              </c:pt>
              <c:pt idx="8">
                <c:v>48.84</c:v>
              </c:pt>
              <c:pt idx="9">
                <c:v>49.31</c:v>
              </c:pt>
              <c:pt idx="10">
                <c:v>49.57</c:v>
              </c:pt>
            </c:numLit>
          </c:val>
        </c:ser>
        <c:ser>
          <c:idx val="1"/>
          <c:order val="1"/>
          <c:tx>
            <c:v>Forest floor</c:v>
          </c:tx>
          <c:invertIfNegative val="0"/>
          <c:cat>
            <c:numLit>
              <c:formatCode>General</c:formatCode>
              <c:ptCount val="11"/>
              <c:pt idx="0">
                <c:v>0.0</c:v>
              </c:pt>
              <c:pt idx="1">
                <c:v>10.0</c:v>
              </c:pt>
              <c:pt idx="2">
                <c:v>20.0</c:v>
              </c:pt>
              <c:pt idx="3">
                <c:v>30.0</c:v>
              </c:pt>
              <c:pt idx="4">
                <c:v>40.0</c:v>
              </c:pt>
              <c:pt idx="5">
                <c:v>50.0</c:v>
              </c:pt>
              <c:pt idx="6">
                <c:v>60.0</c:v>
              </c:pt>
              <c:pt idx="7">
                <c:v>70.0</c:v>
              </c:pt>
              <c:pt idx="8">
                <c:v>80.0</c:v>
              </c:pt>
              <c:pt idx="9">
                <c:v>90.0</c:v>
              </c:pt>
              <c:pt idx="10">
                <c:v>100.0</c:v>
              </c:pt>
            </c:numLit>
          </c:cat>
          <c:val>
            <c:numLit>
              <c:formatCode>General</c:formatCode>
              <c:ptCount val="11"/>
              <c:pt idx="0">
                <c:v>36.87</c:v>
              </c:pt>
              <c:pt idx="1">
                <c:v>34.30000000000001</c:v>
              </c:pt>
              <c:pt idx="2">
                <c:v>32.81</c:v>
              </c:pt>
              <c:pt idx="3">
                <c:v>32.17</c:v>
              </c:pt>
              <c:pt idx="4">
                <c:v>32.14</c:v>
              </c:pt>
              <c:pt idx="5">
                <c:v>32.54</c:v>
              </c:pt>
              <c:pt idx="6">
                <c:v>33.21</c:v>
              </c:pt>
              <c:pt idx="7">
                <c:v>34.04</c:v>
              </c:pt>
              <c:pt idx="8">
                <c:v>34.95</c:v>
              </c:pt>
              <c:pt idx="9">
                <c:v>35.88</c:v>
              </c:pt>
              <c:pt idx="10">
                <c:v>36.81</c:v>
              </c:pt>
            </c:numLit>
          </c:val>
        </c:ser>
        <c:ser>
          <c:idx val="2"/>
          <c:order val="2"/>
          <c:tx>
            <c:v>Dead and Down Trees</c:v>
          </c:tx>
          <c:invertIfNegative val="0"/>
          <c:cat>
            <c:numLit>
              <c:formatCode>General</c:formatCode>
              <c:ptCount val="11"/>
              <c:pt idx="0">
                <c:v>0.0</c:v>
              </c:pt>
              <c:pt idx="1">
                <c:v>10.0</c:v>
              </c:pt>
              <c:pt idx="2">
                <c:v>20.0</c:v>
              </c:pt>
              <c:pt idx="3">
                <c:v>30.0</c:v>
              </c:pt>
              <c:pt idx="4">
                <c:v>40.0</c:v>
              </c:pt>
              <c:pt idx="5">
                <c:v>50.0</c:v>
              </c:pt>
              <c:pt idx="6">
                <c:v>60.0</c:v>
              </c:pt>
              <c:pt idx="7">
                <c:v>70.0</c:v>
              </c:pt>
              <c:pt idx="8">
                <c:v>80.0</c:v>
              </c:pt>
              <c:pt idx="9">
                <c:v>90.0</c:v>
              </c:pt>
              <c:pt idx="10">
                <c:v>100.0</c:v>
              </c:pt>
            </c:numLit>
          </c:cat>
          <c:val>
            <c:numLit>
              <c:formatCode>General</c:formatCode>
              <c:ptCount val="11"/>
              <c:pt idx="0">
                <c:v>51.43</c:v>
              </c:pt>
              <c:pt idx="1">
                <c:v>46.99</c:v>
              </c:pt>
              <c:pt idx="2">
                <c:v>45.13</c:v>
              </c:pt>
              <c:pt idx="3">
                <c:v>45.21</c:v>
              </c:pt>
              <c:pt idx="4">
                <c:v>46.37</c:v>
              </c:pt>
              <c:pt idx="5">
                <c:v>48.05</c:v>
              </c:pt>
              <c:pt idx="6">
                <c:v>49.89</c:v>
              </c:pt>
              <c:pt idx="7">
                <c:v>51.72</c:v>
              </c:pt>
              <c:pt idx="8">
                <c:v>53.48</c:v>
              </c:pt>
              <c:pt idx="9">
                <c:v>55.08</c:v>
              </c:pt>
              <c:pt idx="10">
                <c:v>56.56</c:v>
              </c:pt>
            </c:numLit>
          </c:val>
        </c:ser>
        <c:ser>
          <c:idx val="0"/>
          <c:order val="3"/>
          <c:tx>
            <c:v>COLE FIA avg stocking</c:v>
          </c:tx>
          <c:invertIfNegative val="0"/>
          <c:cat>
            <c:numLit>
              <c:formatCode>General</c:formatCode>
              <c:ptCount val="11"/>
              <c:pt idx="0">
                <c:v>0.0</c:v>
              </c:pt>
              <c:pt idx="1">
                <c:v>10.0</c:v>
              </c:pt>
              <c:pt idx="2">
                <c:v>20.0</c:v>
              </c:pt>
              <c:pt idx="3">
                <c:v>30.0</c:v>
              </c:pt>
              <c:pt idx="4">
                <c:v>40.0</c:v>
              </c:pt>
              <c:pt idx="5">
                <c:v>50.0</c:v>
              </c:pt>
              <c:pt idx="6">
                <c:v>60.0</c:v>
              </c:pt>
              <c:pt idx="7">
                <c:v>70.0</c:v>
              </c:pt>
              <c:pt idx="8">
                <c:v>80.0</c:v>
              </c:pt>
              <c:pt idx="9">
                <c:v>90.0</c:v>
              </c:pt>
              <c:pt idx="10">
                <c:v>100.0</c:v>
              </c:pt>
            </c:numLit>
          </c:cat>
          <c:val>
            <c:numLit>
              <c:formatCode>General</c:formatCode>
              <c:ptCount val="11"/>
              <c:pt idx="0">
                <c:v>0.0</c:v>
              </c:pt>
              <c:pt idx="1">
                <c:v>3.01</c:v>
              </c:pt>
              <c:pt idx="2">
                <c:v>14.76</c:v>
              </c:pt>
              <c:pt idx="3">
                <c:v>31.5</c:v>
              </c:pt>
              <c:pt idx="4">
                <c:v>48.68</c:v>
              </c:pt>
              <c:pt idx="5">
                <c:v>63.82</c:v>
              </c:pt>
              <c:pt idx="6">
                <c:v>76.07</c:v>
              </c:pt>
              <c:pt idx="7">
                <c:v>85.51</c:v>
              </c:pt>
              <c:pt idx="8">
                <c:v>92.55</c:v>
              </c:pt>
              <c:pt idx="9">
                <c:v>97.7</c:v>
              </c:pt>
              <c:pt idx="10">
                <c:v>101.41</c:v>
              </c:pt>
            </c:numLit>
          </c:val>
        </c:ser>
        <c:dLbls>
          <c:showLegendKey val="0"/>
          <c:showVal val="0"/>
          <c:showCatName val="0"/>
          <c:showSerName val="0"/>
          <c:showPercent val="0"/>
          <c:showBubbleSize val="0"/>
        </c:dLbls>
        <c:gapWidth val="150"/>
        <c:overlap val="100"/>
        <c:axId val="-2093920488"/>
        <c:axId val="-2093335384"/>
      </c:barChart>
      <c:catAx>
        <c:axId val="-2093920488"/>
        <c:scaling>
          <c:orientation val="minMax"/>
        </c:scaling>
        <c:delete val="0"/>
        <c:axPos val="b"/>
        <c:title>
          <c:tx>
            <c:rich>
              <a:bodyPr/>
              <a:lstStyle/>
              <a:p>
                <a:pPr>
                  <a:defRPr/>
                </a:pPr>
                <a:r>
                  <a:rPr lang="en-US"/>
                  <a:t>Stand Age </a:t>
                </a:r>
              </a:p>
            </c:rich>
          </c:tx>
          <c:layout/>
          <c:overlay val="0"/>
        </c:title>
        <c:numFmt formatCode="General" sourceLinked="1"/>
        <c:majorTickMark val="out"/>
        <c:minorTickMark val="none"/>
        <c:tickLblPos val="nextTo"/>
        <c:crossAx val="-2093335384"/>
        <c:crosses val="autoZero"/>
        <c:auto val="1"/>
        <c:lblAlgn val="ctr"/>
        <c:lblOffset val="100"/>
        <c:noMultiLvlLbl val="0"/>
      </c:catAx>
      <c:valAx>
        <c:axId val="-2093335384"/>
        <c:scaling>
          <c:orientation val="minMax"/>
        </c:scaling>
        <c:delete val="0"/>
        <c:axPos val="l"/>
        <c:majorGridlines/>
        <c:title>
          <c:tx>
            <c:rich>
              <a:bodyPr rot="-5400000" vert="horz"/>
              <a:lstStyle/>
              <a:p>
                <a:pPr>
                  <a:defRPr/>
                </a:pPr>
                <a:r>
                  <a:rPr lang="en-US"/>
                  <a:t>Tonnes of carbon/hectare</a:t>
                </a:r>
              </a:p>
            </c:rich>
          </c:tx>
          <c:layout/>
          <c:overlay val="0"/>
        </c:title>
        <c:numFmt formatCode="General" sourceLinked="1"/>
        <c:majorTickMark val="out"/>
        <c:minorTickMark val="none"/>
        <c:tickLblPos val="nextTo"/>
        <c:crossAx val="-209392048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US" sz="1400"/>
              <a:t>Live Tree Carbon with and</a:t>
            </a:r>
            <a:r>
              <a:rPr lang="en-US" sz="1400" baseline="0"/>
              <a:t> without fuels treatments at Year 40 and 60 - California Mixed Conifer on Private Land</a:t>
            </a:r>
            <a:endParaRPr lang="en-US" sz="1400"/>
          </a:p>
        </c:rich>
      </c:tx>
      <c:layout>
        <c:manualLayout>
          <c:xMode val="edge"/>
          <c:yMode val="edge"/>
          <c:x val="0.170893529613146"/>
          <c:y val="0.0305810397553517"/>
        </c:manualLayout>
      </c:layout>
      <c:overlay val="0"/>
    </c:title>
    <c:autoTitleDeleted val="0"/>
    <c:plotArea>
      <c:layout/>
      <c:lineChart>
        <c:grouping val="standard"/>
        <c:varyColors val="0"/>
        <c:ser>
          <c:idx val="0"/>
          <c:order val="0"/>
          <c:tx>
            <c:v>COLE FIA avg stocking</c:v>
          </c:tx>
          <c:spPr>
            <a:ln>
              <a:prstDash val="sysDash"/>
            </a:ln>
          </c:spPr>
          <c:marker>
            <c:symbol val="none"/>
          </c:marker>
          <c:cat>
            <c:numLit>
              <c:formatCode>General</c:formatCode>
              <c:ptCount val="9"/>
              <c:pt idx="0">
                <c:v>0.0</c:v>
              </c:pt>
              <c:pt idx="1">
                <c:v>10.0</c:v>
              </c:pt>
              <c:pt idx="2">
                <c:v>20.0</c:v>
              </c:pt>
              <c:pt idx="3">
                <c:v>30.0</c:v>
              </c:pt>
              <c:pt idx="4">
                <c:v>40.0</c:v>
              </c:pt>
              <c:pt idx="5">
                <c:v>50.0</c:v>
              </c:pt>
              <c:pt idx="6">
                <c:v>60.0</c:v>
              </c:pt>
              <c:pt idx="7">
                <c:v>70.0</c:v>
              </c:pt>
              <c:pt idx="8">
                <c:v>80.0</c:v>
              </c:pt>
            </c:numLit>
          </c:cat>
          <c:val>
            <c:numLit>
              <c:formatCode>General</c:formatCode>
              <c:ptCount val="9"/>
              <c:pt idx="0">
                <c:v>0.0</c:v>
              </c:pt>
              <c:pt idx="1">
                <c:v>3.01</c:v>
              </c:pt>
              <c:pt idx="2">
                <c:v>14.76</c:v>
              </c:pt>
              <c:pt idx="3">
                <c:v>31.5</c:v>
              </c:pt>
              <c:pt idx="4">
                <c:v>48.68</c:v>
              </c:pt>
              <c:pt idx="5">
                <c:v>63.82</c:v>
              </c:pt>
              <c:pt idx="6">
                <c:v>76.07</c:v>
              </c:pt>
              <c:pt idx="7">
                <c:v>85.51</c:v>
              </c:pt>
              <c:pt idx="8">
                <c:v>92.55</c:v>
              </c:pt>
            </c:numLit>
          </c:val>
          <c:smooth val="0"/>
        </c:ser>
        <c:ser>
          <c:idx val="1"/>
          <c:order val="1"/>
          <c:tx>
            <c:v>Fuels Tmt to 80% of full biomass</c:v>
          </c:tx>
          <c:spPr>
            <a:ln>
              <a:solidFill>
                <a:schemeClr val="tx1"/>
              </a:solidFill>
            </a:ln>
          </c:spPr>
          <c:marker>
            <c:symbol val="circle"/>
            <c:size val="7"/>
            <c:spPr>
              <a:solidFill>
                <a:schemeClr val="tx1"/>
              </a:solidFill>
              <a:ln>
                <a:solidFill>
                  <a:schemeClr val="tx1"/>
                </a:solidFill>
              </a:ln>
            </c:spPr>
          </c:marker>
          <c:cat>
            <c:numLit>
              <c:formatCode>General</c:formatCode>
              <c:ptCount val="9"/>
              <c:pt idx="0">
                <c:v>0.0</c:v>
              </c:pt>
              <c:pt idx="1">
                <c:v>10.0</c:v>
              </c:pt>
              <c:pt idx="2">
                <c:v>20.0</c:v>
              </c:pt>
              <c:pt idx="3">
                <c:v>30.0</c:v>
              </c:pt>
              <c:pt idx="4">
                <c:v>40.0</c:v>
              </c:pt>
              <c:pt idx="5">
                <c:v>50.0</c:v>
              </c:pt>
              <c:pt idx="6">
                <c:v>60.0</c:v>
              </c:pt>
              <c:pt idx="7">
                <c:v>70.0</c:v>
              </c:pt>
              <c:pt idx="8">
                <c:v>80.0</c:v>
              </c:pt>
            </c:numLit>
          </c:cat>
          <c:val>
            <c:numLit>
              <c:formatCode>General</c:formatCode>
              <c:ptCount val="9"/>
              <c:pt idx="0">
                <c:v>0.0</c:v>
              </c:pt>
              <c:pt idx="1">
                <c:v>3.01</c:v>
              </c:pt>
              <c:pt idx="2">
                <c:v>14.76</c:v>
              </c:pt>
              <c:pt idx="3">
                <c:v>31.5</c:v>
              </c:pt>
              <c:pt idx="4">
                <c:v>48.68</c:v>
              </c:pt>
              <c:pt idx="5">
                <c:v>51.056</c:v>
              </c:pt>
              <c:pt idx="6">
                <c:v>70.0</c:v>
              </c:pt>
              <c:pt idx="7">
                <c:v>68.408</c:v>
              </c:pt>
              <c:pt idx="8">
                <c:v>74.04</c:v>
              </c:pt>
            </c:numLit>
          </c:val>
          <c:smooth val="0"/>
        </c:ser>
        <c:dLbls>
          <c:showLegendKey val="0"/>
          <c:showVal val="0"/>
          <c:showCatName val="0"/>
          <c:showSerName val="0"/>
          <c:showPercent val="0"/>
          <c:showBubbleSize val="0"/>
        </c:dLbls>
        <c:marker val="1"/>
        <c:smooth val="0"/>
        <c:axId val="-2118810328"/>
        <c:axId val="-2090717272"/>
      </c:lineChart>
      <c:catAx>
        <c:axId val="-2118810328"/>
        <c:scaling>
          <c:orientation val="minMax"/>
        </c:scaling>
        <c:delete val="0"/>
        <c:axPos val="b"/>
        <c:title>
          <c:tx>
            <c:rich>
              <a:bodyPr/>
              <a:lstStyle/>
              <a:p>
                <a:pPr>
                  <a:defRPr/>
                </a:pPr>
                <a:r>
                  <a:rPr lang="en-US"/>
                  <a:t>Stand</a:t>
                </a:r>
                <a:r>
                  <a:rPr lang="en-US" baseline="0"/>
                  <a:t> Age in years</a:t>
                </a:r>
                <a:endParaRPr lang="en-US"/>
              </a:p>
            </c:rich>
          </c:tx>
          <c:layout/>
          <c:overlay val="0"/>
        </c:title>
        <c:numFmt formatCode="General" sourceLinked="1"/>
        <c:majorTickMark val="out"/>
        <c:minorTickMark val="none"/>
        <c:tickLblPos val="nextTo"/>
        <c:crossAx val="-2090717272"/>
        <c:crosses val="autoZero"/>
        <c:auto val="1"/>
        <c:lblAlgn val="ctr"/>
        <c:lblOffset val="100"/>
        <c:noMultiLvlLbl val="0"/>
      </c:catAx>
      <c:valAx>
        <c:axId val="-2090717272"/>
        <c:scaling>
          <c:orientation val="minMax"/>
        </c:scaling>
        <c:delete val="0"/>
        <c:axPos val="l"/>
        <c:majorGridlines/>
        <c:title>
          <c:tx>
            <c:rich>
              <a:bodyPr rot="-5400000" vert="horz"/>
              <a:lstStyle/>
              <a:p>
                <a:pPr>
                  <a:defRPr/>
                </a:pPr>
                <a:r>
                  <a:rPr lang="en-US"/>
                  <a:t>Toones of Live</a:t>
                </a:r>
                <a:r>
                  <a:rPr lang="en-US" baseline="0"/>
                  <a:t> Tree Carbon per hectare</a:t>
                </a:r>
                <a:endParaRPr lang="en-US"/>
              </a:p>
            </c:rich>
          </c:tx>
          <c:layout/>
          <c:overlay val="0"/>
        </c:title>
        <c:numFmt formatCode="General" sourceLinked="1"/>
        <c:majorTickMark val="out"/>
        <c:minorTickMark val="none"/>
        <c:tickLblPos val="nextTo"/>
        <c:crossAx val="-2118810328"/>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BCB10-C4B0-1B45-81DF-452989FE4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3706</Words>
  <Characters>20943</Characters>
  <Application>Microsoft Macintosh Word</Application>
  <DocSecurity>0</DocSecurity>
  <Lines>654</Lines>
  <Paragraphs>379</Paragraphs>
  <ScaleCrop>false</ScaleCrop>
  <HeadingPairs>
    <vt:vector size="2" baseType="variant">
      <vt:variant>
        <vt:lpstr>Title</vt:lpstr>
      </vt:variant>
      <vt:variant>
        <vt:i4>1</vt:i4>
      </vt:variant>
    </vt:vector>
  </HeadingPairs>
  <TitlesOfParts>
    <vt:vector size="1" baseType="lpstr">
      <vt:lpstr/>
    </vt:vector>
  </TitlesOfParts>
  <Company>Berkeley Forests</Company>
  <LinksUpToDate>false</LinksUpToDate>
  <CharactersWithSpaces>24270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Stewart</dc:creator>
  <cp:lastModifiedBy>Bill Stewart</cp:lastModifiedBy>
  <cp:revision>2</cp:revision>
  <cp:lastPrinted>2015-08-07T21:20:00Z</cp:lastPrinted>
  <dcterms:created xsi:type="dcterms:W3CDTF">2015-09-26T00:12:00Z</dcterms:created>
  <dcterms:modified xsi:type="dcterms:W3CDTF">2015-09-26T00:12:00Z</dcterms:modified>
</cp:coreProperties>
</file>